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E65" w:rsidRPr="00105CC4" w:rsidRDefault="004A3BFA">
      <w:pPr>
        <w:rPr>
          <w:b/>
          <w:lang w:val="en-US"/>
        </w:rPr>
      </w:pPr>
      <w:r w:rsidRPr="00105CC4">
        <w:rPr>
          <w:b/>
          <w:lang w:val="en-US"/>
        </w:rPr>
        <w:t>Neglected Tropical Diseases</w:t>
      </w:r>
    </w:p>
    <w:p w:rsidR="004A3BFA" w:rsidRPr="00105CC4" w:rsidRDefault="004A3BFA">
      <w:pPr>
        <w:rPr>
          <w:lang w:val="en-US"/>
        </w:rPr>
      </w:pPr>
    </w:p>
    <w:p w:rsidR="009E6DEF" w:rsidRPr="00105CC4" w:rsidRDefault="009E6DEF" w:rsidP="004A3BFA">
      <w:pPr>
        <w:rPr>
          <w:b/>
          <w:lang w:val="en-US"/>
        </w:rPr>
      </w:pPr>
      <w:r w:rsidRPr="00105CC4">
        <w:rPr>
          <w:b/>
          <w:lang w:val="en-US"/>
        </w:rPr>
        <w:t>Introduction</w:t>
      </w:r>
    </w:p>
    <w:p w:rsidR="004A3BFA" w:rsidRPr="00105CC4" w:rsidRDefault="004A3BFA" w:rsidP="004A3BFA">
      <w:pPr>
        <w:rPr>
          <w:lang w:val="en-US"/>
        </w:rPr>
      </w:pPr>
      <w:r w:rsidRPr="00105CC4">
        <w:rPr>
          <w:lang w:val="en-US"/>
        </w:rPr>
        <w:t xml:space="preserve">The Neglected Tropical Diseases (NTDs) </w:t>
      </w:r>
      <w:r w:rsidR="00D03173" w:rsidRPr="00105CC4">
        <w:rPr>
          <w:lang w:val="en-US"/>
        </w:rPr>
        <w:t xml:space="preserve">were introduced </w:t>
      </w:r>
      <w:r w:rsidR="009E6DEF" w:rsidRPr="00105CC4">
        <w:rPr>
          <w:lang w:val="en-US"/>
        </w:rPr>
        <w:t>as a new entity in tropical medicine in 2005</w:t>
      </w:r>
      <w:r w:rsidRPr="00105CC4">
        <w:rPr>
          <w:lang w:val="en-US"/>
        </w:rPr>
        <w:t xml:space="preserve"> in a response to all the attention the </w:t>
      </w:r>
      <w:r w:rsidR="00FF5807" w:rsidRPr="00105CC4">
        <w:rPr>
          <w:lang w:val="en-US"/>
        </w:rPr>
        <w:t>“</w:t>
      </w:r>
      <w:r w:rsidRPr="00105CC4">
        <w:rPr>
          <w:lang w:val="en-US"/>
        </w:rPr>
        <w:t>big three</w:t>
      </w:r>
      <w:r w:rsidR="00FF5807" w:rsidRPr="00105CC4">
        <w:rPr>
          <w:lang w:val="en-US"/>
        </w:rPr>
        <w:t>”:</w:t>
      </w:r>
      <w:r w:rsidRPr="00105CC4">
        <w:rPr>
          <w:lang w:val="en-US"/>
        </w:rPr>
        <w:t xml:space="preserve"> malaria, tuberculosis and HIV/AIDS received </w:t>
      </w:r>
      <w:proofErr w:type="gramStart"/>
      <w:r w:rsidRPr="00105CC4">
        <w:rPr>
          <w:lang w:val="en-US"/>
        </w:rPr>
        <w:t>in particular after</w:t>
      </w:r>
      <w:proofErr w:type="gramEnd"/>
      <w:r w:rsidRPr="00105CC4">
        <w:rPr>
          <w:lang w:val="en-US"/>
        </w:rPr>
        <w:t xml:space="preserve"> the creation of the Global Fund to Fight AIDS, tuberculosis and malaria, in 2002. This has caused these </w:t>
      </w:r>
      <w:r w:rsidR="00FF5807" w:rsidRPr="00105CC4">
        <w:rPr>
          <w:lang w:val="en-US"/>
        </w:rPr>
        <w:t xml:space="preserve">important </w:t>
      </w:r>
      <w:r w:rsidRPr="00105CC4">
        <w:rPr>
          <w:lang w:val="en-US"/>
        </w:rPr>
        <w:t>disease</w:t>
      </w:r>
      <w:r w:rsidR="00FF5807" w:rsidRPr="00105CC4">
        <w:rPr>
          <w:lang w:val="en-US"/>
        </w:rPr>
        <w:t>s</w:t>
      </w:r>
      <w:r w:rsidRPr="00105CC4">
        <w:rPr>
          <w:lang w:val="en-US"/>
        </w:rPr>
        <w:t xml:space="preserve"> to receive and attract </w:t>
      </w:r>
      <w:proofErr w:type="gramStart"/>
      <w:r w:rsidRPr="00105CC4">
        <w:rPr>
          <w:lang w:val="en-US"/>
        </w:rPr>
        <w:t>funds, and</w:t>
      </w:r>
      <w:proofErr w:type="gramEnd"/>
      <w:r w:rsidRPr="00105CC4">
        <w:rPr>
          <w:lang w:val="en-US"/>
        </w:rPr>
        <w:t xml:space="preserve"> resulted in an enormous drive to develop new tools </w:t>
      </w:r>
      <w:r w:rsidR="00FF5807" w:rsidRPr="00105CC4">
        <w:rPr>
          <w:lang w:val="en-US"/>
        </w:rPr>
        <w:t xml:space="preserve">for their control </w:t>
      </w:r>
      <w:r w:rsidRPr="00105CC4">
        <w:rPr>
          <w:lang w:val="en-US"/>
        </w:rPr>
        <w:t>in particular drugs</w:t>
      </w:r>
      <w:r w:rsidR="00FF5807" w:rsidRPr="00105CC4">
        <w:rPr>
          <w:lang w:val="en-US"/>
        </w:rPr>
        <w:t xml:space="preserve">; numerous </w:t>
      </w:r>
      <w:r w:rsidRPr="00105CC4">
        <w:rPr>
          <w:lang w:val="en-US"/>
        </w:rPr>
        <w:t xml:space="preserve">private-public partner ships and multiple large scale interventions has saved millions of lives. </w:t>
      </w:r>
    </w:p>
    <w:p w:rsidR="00241A48" w:rsidRPr="00105CC4" w:rsidRDefault="004A3BFA" w:rsidP="004A3BFA">
      <w:pPr>
        <w:rPr>
          <w:lang w:val="en-US"/>
        </w:rPr>
      </w:pPr>
      <w:r w:rsidRPr="00105CC4">
        <w:rPr>
          <w:lang w:val="en-US"/>
        </w:rPr>
        <w:t xml:space="preserve">However, a long list of other diseases </w:t>
      </w:r>
      <w:proofErr w:type="gramStart"/>
      <w:r w:rsidRPr="00105CC4">
        <w:rPr>
          <w:lang w:val="en-US"/>
        </w:rPr>
        <w:t>were</w:t>
      </w:r>
      <w:proofErr w:type="gramEnd"/>
      <w:r w:rsidRPr="00105CC4">
        <w:rPr>
          <w:lang w:val="en-US"/>
        </w:rPr>
        <w:t xml:space="preserve"> receiving even less attention than before as a result of this diversion and concentration of efforts and funds. </w:t>
      </w:r>
      <w:r w:rsidR="0008039A" w:rsidRPr="00105CC4">
        <w:rPr>
          <w:lang w:val="en-US"/>
        </w:rPr>
        <w:t xml:space="preserve">The NTDs that affect 1 billion people, </w:t>
      </w:r>
      <w:r w:rsidRPr="00105CC4">
        <w:rPr>
          <w:lang w:val="en-US"/>
        </w:rPr>
        <w:t xml:space="preserve">include classical tropical diseases such as </w:t>
      </w:r>
      <w:r w:rsidR="00FF5807" w:rsidRPr="00105CC4">
        <w:rPr>
          <w:lang w:val="en-US"/>
        </w:rPr>
        <w:t>Human African T</w:t>
      </w:r>
      <w:r w:rsidRPr="00105CC4">
        <w:rPr>
          <w:lang w:val="en-US"/>
        </w:rPr>
        <w:t>rypanosomiasis</w:t>
      </w:r>
      <w:r w:rsidR="00FF5807" w:rsidRPr="00105CC4">
        <w:rPr>
          <w:lang w:val="en-US"/>
        </w:rPr>
        <w:t xml:space="preserve"> (HAT)</w:t>
      </w:r>
      <w:r w:rsidRPr="00105CC4">
        <w:rPr>
          <w:lang w:val="en-US"/>
        </w:rPr>
        <w:t xml:space="preserve"> and leishmaniasis that were still treated with </w:t>
      </w:r>
      <w:r w:rsidR="00FF5807" w:rsidRPr="00105CC4">
        <w:rPr>
          <w:lang w:val="en-US"/>
        </w:rPr>
        <w:t xml:space="preserve">old and </w:t>
      </w:r>
      <w:r w:rsidRPr="00105CC4">
        <w:rPr>
          <w:lang w:val="en-US"/>
        </w:rPr>
        <w:t>toxic</w:t>
      </w:r>
      <w:r w:rsidR="00D023BD" w:rsidRPr="00105CC4">
        <w:rPr>
          <w:lang w:val="en-US"/>
        </w:rPr>
        <w:t xml:space="preserve"> drugs containing heavy metals including arsenic (</w:t>
      </w:r>
      <w:proofErr w:type="spellStart"/>
      <w:r w:rsidR="00D023BD" w:rsidRPr="00105CC4">
        <w:rPr>
          <w:lang w:val="en-US"/>
        </w:rPr>
        <w:t>melarsoprol</w:t>
      </w:r>
      <w:proofErr w:type="spellEnd"/>
      <w:r w:rsidR="00D023BD" w:rsidRPr="00105CC4">
        <w:rPr>
          <w:lang w:val="en-US"/>
        </w:rPr>
        <w:t xml:space="preserve"> in HAT) and antimony (stibogluconate in leishmaniasis)</w:t>
      </w:r>
      <w:r w:rsidR="00AC4027" w:rsidRPr="00105CC4">
        <w:rPr>
          <w:lang w:val="en-US"/>
        </w:rPr>
        <w:t xml:space="preserve"> and that were developed decades ago</w:t>
      </w:r>
      <w:r w:rsidR="00D023BD" w:rsidRPr="00105CC4">
        <w:rPr>
          <w:lang w:val="en-US"/>
        </w:rPr>
        <w:t xml:space="preserve">. </w:t>
      </w:r>
      <w:r w:rsidR="00AC4027" w:rsidRPr="00105CC4">
        <w:rPr>
          <w:lang w:val="en-US"/>
        </w:rPr>
        <w:t>A systemic review covering a 25-year period showed virtually n</w:t>
      </w:r>
      <w:r w:rsidR="006B3428" w:rsidRPr="00105CC4">
        <w:rPr>
          <w:lang w:val="en-US"/>
        </w:rPr>
        <w:t xml:space="preserve">o </w:t>
      </w:r>
      <w:r w:rsidR="00AC4027" w:rsidRPr="00105CC4">
        <w:rPr>
          <w:lang w:val="en-US"/>
        </w:rPr>
        <w:t xml:space="preserve">new chemical entities </w:t>
      </w:r>
      <w:r w:rsidR="00661F6A" w:rsidRPr="00105CC4">
        <w:rPr>
          <w:lang w:val="en-US"/>
        </w:rPr>
        <w:t>for tropical diseases in contrast to drugs for cancer and neurological diseases</w:t>
      </w:r>
      <w:r w:rsidR="00AC4027" w:rsidRPr="00105CC4">
        <w:rPr>
          <w:lang w:val="en-US"/>
        </w:rPr>
        <w:t xml:space="preserve">. </w:t>
      </w:r>
      <w:r w:rsidR="00DC01EE" w:rsidRPr="00105CC4">
        <w:rPr>
          <w:lang w:val="en-US"/>
        </w:rPr>
        <w:t xml:space="preserve">[1] </w:t>
      </w:r>
      <w:r w:rsidR="00D023BD" w:rsidRPr="00105CC4">
        <w:rPr>
          <w:lang w:val="en-US"/>
        </w:rPr>
        <w:t xml:space="preserve">Similarly diagnostic tools remained inadequate. </w:t>
      </w:r>
      <w:r w:rsidR="00241A48" w:rsidRPr="00105CC4">
        <w:rPr>
          <w:lang w:val="en-US"/>
        </w:rPr>
        <w:t xml:space="preserve">The list </w:t>
      </w:r>
      <w:r w:rsidR="00AC4027" w:rsidRPr="00105CC4">
        <w:rPr>
          <w:lang w:val="en-US"/>
        </w:rPr>
        <w:t xml:space="preserve">is </w:t>
      </w:r>
      <w:r w:rsidR="00241A48" w:rsidRPr="00105CC4">
        <w:rPr>
          <w:lang w:val="en-US"/>
        </w:rPr>
        <w:t xml:space="preserve">of course much </w:t>
      </w:r>
      <w:proofErr w:type="gramStart"/>
      <w:r w:rsidR="00241A48" w:rsidRPr="00105CC4">
        <w:rPr>
          <w:lang w:val="en-US"/>
        </w:rPr>
        <w:t>longer</w:t>
      </w:r>
      <w:proofErr w:type="gramEnd"/>
      <w:r w:rsidR="00241A48" w:rsidRPr="00105CC4">
        <w:rPr>
          <w:lang w:val="en-US"/>
        </w:rPr>
        <w:t xml:space="preserve"> and the current list includes 40 diseases including helminthic, parasitic, bacterial, ectoparasitic and fungal diseases</w:t>
      </w:r>
      <w:r w:rsidR="00AC4027" w:rsidRPr="00105CC4">
        <w:rPr>
          <w:lang w:val="en-US"/>
        </w:rPr>
        <w:t xml:space="preserve"> (Table 1)</w:t>
      </w:r>
      <w:r w:rsidR="00241A48" w:rsidRPr="00105CC4">
        <w:rPr>
          <w:lang w:val="en-US"/>
        </w:rPr>
        <w:t>.</w:t>
      </w:r>
      <w:r w:rsidR="001F3377" w:rsidRPr="00105CC4">
        <w:rPr>
          <w:lang w:val="en-US"/>
        </w:rPr>
        <w:t xml:space="preserve"> Common characteristics are that they are chronic, debilitating and stigmatizing diseases that affect the poorest segment of populations that live in remote areas. They have a profound effect on poverty and social and intellectual development thus causing a vicious circle.</w:t>
      </w:r>
      <w:r w:rsidR="006B3428" w:rsidRPr="00105CC4">
        <w:rPr>
          <w:lang w:val="en-US"/>
        </w:rPr>
        <w:t xml:space="preserve"> </w:t>
      </w:r>
      <w:r w:rsidR="0008039A" w:rsidRPr="00105CC4">
        <w:rPr>
          <w:lang w:val="en-US"/>
        </w:rPr>
        <w:t xml:space="preserve">Lack of access to safe water, poor sanitation and poor housing are important contributing factors. </w:t>
      </w:r>
      <w:r w:rsidR="006B3428" w:rsidRPr="00105CC4">
        <w:rPr>
          <w:lang w:val="en-US"/>
        </w:rPr>
        <w:t xml:space="preserve">There are major difficulties in estimating the global burden of the NTDs in DALYs; recent estimates are 56.6 million DALYs for NTDs compared with 46.5 million for malaria </w:t>
      </w:r>
      <w:r w:rsidR="00FF5807" w:rsidRPr="00105CC4">
        <w:rPr>
          <w:lang w:val="en-US"/>
        </w:rPr>
        <w:t>a</w:t>
      </w:r>
      <w:r w:rsidR="006B3428" w:rsidRPr="00105CC4">
        <w:rPr>
          <w:lang w:val="en-US"/>
        </w:rPr>
        <w:t xml:space="preserve">nd 34.7 </w:t>
      </w:r>
      <w:r w:rsidR="00326641" w:rsidRPr="00105CC4">
        <w:rPr>
          <w:lang w:val="en-US"/>
        </w:rPr>
        <w:t xml:space="preserve">million </w:t>
      </w:r>
      <w:r w:rsidR="006B3428" w:rsidRPr="00105CC4">
        <w:rPr>
          <w:lang w:val="en-US"/>
        </w:rPr>
        <w:t>for tuberculosis. Actual estimates for NTDS may be much higher and currently new estimates are being collected.</w:t>
      </w:r>
    </w:p>
    <w:p w:rsidR="009E6DEF" w:rsidRPr="00105CC4" w:rsidRDefault="009E6DEF" w:rsidP="004A3BFA">
      <w:pPr>
        <w:rPr>
          <w:b/>
          <w:lang w:val="en-US"/>
        </w:rPr>
      </w:pPr>
      <w:r w:rsidRPr="00105CC4">
        <w:rPr>
          <w:b/>
          <w:lang w:val="en-US"/>
        </w:rPr>
        <w:t xml:space="preserve">Important </w:t>
      </w:r>
      <w:proofErr w:type="gramStart"/>
      <w:r w:rsidRPr="00105CC4">
        <w:rPr>
          <w:b/>
          <w:lang w:val="en-US"/>
        </w:rPr>
        <w:t>players  and</w:t>
      </w:r>
      <w:proofErr w:type="gramEnd"/>
      <w:r w:rsidRPr="00105CC4">
        <w:rPr>
          <w:b/>
          <w:lang w:val="en-US"/>
        </w:rPr>
        <w:t xml:space="preserve"> developments</w:t>
      </w:r>
    </w:p>
    <w:p w:rsidR="00AC4027" w:rsidRPr="00105CC4" w:rsidRDefault="001F3377" w:rsidP="004A3BFA">
      <w:pPr>
        <w:rPr>
          <w:lang w:val="en-US"/>
        </w:rPr>
      </w:pPr>
      <w:proofErr w:type="spellStart"/>
      <w:r w:rsidRPr="00105CC4">
        <w:rPr>
          <w:lang w:val="en-US"/>
        </w:rPr>
        <w:t>M</w:t>
      </w:r>
      <w:r w:rsidR="00A5490C" w:rsidRPr="00105CC4">
        <w:rPr>
          <w:lang w:val="en-US"/>
        </w:rPr>
        <w:t>é</w:t>
      </w:r>
      <w:r w:rsidRPr="00105CC4">
        <w:rPr>
          <w:lang w:val="en-US"/>
        </w:rPr>
        <w:t>de</w:t>
      </w:r>
      <w:r w:rsidR="00A5490C" w:rsidRPr="00105CC4">
        <w:rPr>
          <w:lang w:val="en-US"/>
        </w:rPr>
        <w:t>cins</w:t>
      </w:r>
      <w:proofErr w:type="spellEnd"/>
      <w:r w:rsidR="00A5490C" w:rsidRPr="00105CC4">
        <w:rPr>
          <w:lang w:val="en-US"/>
        </w:rPr>
        <w:t xml:space="preserve"> sans </w:t>
      </w:r>
      <w:proofErr w:type="spellStart"/>
      <w:r w:rsidR="00A5490C" w:rsidRPr="00105CC4">
        <w:rPr>
          <w:lang w:val="en-US"/>
        </w:rPr>
        <w:t>Frontiè</w:t>
      </w:r>
      <w:r w:rsidR="00AC4027" w:rsidRPr="00105CC4">
        <w:rPr>
          <w:lang w:val="en-US"/>
        </w:rPr>
        <w:t>res</w:t>
      </w:r>
      <w:proofErr w:type="spellEnd"/>
      <w:r w:rsidR="00AC4027" w:rsidRPr="00105CC4">
        <w:rPr>
          <w:lang w:val="en-US"/>
        </w:rPr>
        <w:t xml:space="preserve"> (MSF) was among the pioneers to draw attention to the lack of drugs for the neglected diseases and </w:t>
      </w:r>
      <w:r w:rsidR="00326641" w:rsidRPr="00105CC4">
        <w:rPr>
          <w:lang w:val="en-US"/>
        </w:rPr>
        <w:t>brought together 7 partners [</w:t>
      </w:r>
      <w:r w:rsidR="00F45D6C" w:rsidRPr="00105CC4">
        <w:rPr>
          <w:lang w:val="en-US"/>
        </w:rPr>
        <w:t xml:space="preserve">among these: the Pasteur Institute, the Kenya Medical Research Institute (KEMRI) and WHO/TDR (special </w:t>
      </w:r>
      <w:proofErr w:type="spellStart"/>
      <w:r w:rsidR="00F45D6C" w:rsidRPr="00105CC4">
        <w:rPr>
          <w:lang w:val="en-US"/>
        </w:rPr>
        <w:t>programme</w:t>
      </w:r>
      <w:proofErr w:type="spellEnd"/>
      <w:r w:rsidR="00F45D6C" w:rsidRPr="00105CC4">
        <w:rPr>
          <w:lang w:val="en-US"/>
        </w:rPr>
        <w:t xml:space="preserve"> for Research and</w:t>
      </w:r>
      <w:r w:rsidR="00326641" w:rsidRPr="00105CC4">
        <w:rPr>
          <w:lang w:val="en-US"/>
        </w:rPr>
        <w:t xml:space="preserve"> Training in Tropical Diseases)] </w:t>
      </w:r>
      <w:r w:rsidR="00F45D6C" w:rsidRPr="00105CC4">
        <w:rPr>
          <w:lang w:val="en-US"/>
        </w:rPr>
        <w:t xml:space="preserve">to </w:t>
      </w:r>
      <w:r w:rsidR="00AC4027" w:rsidRPr="00105CC4">
        <w:rPr>
          <w:lang w:val="en-US"/>
        </w:rPr>
        <w:t xml:space="preserve">establish the Drugs for Neglected </w:t>
      </w:r>
      <w:r w:rsidR="00AC4027" w:rsidRPr="00105CC4">
        <w:rPr>
          <w:i/>
          <w:lang w:val="en-US"/>
        </w:rPr>
        <w:t>initiative</w:t>
      </w:r>
      <w:r w:rsidR="00AC4027" w:rsidRPr="00105CC4">
        <w:rPr>
          <w:lang w:val="en-US"/>
        </w:rPr>
        <w:t xml:space="preserve"> (DND</w:t>
      </w:r>
      <w:r w:rsidR="00AC4027" w:rsidRPr="00105CC4">
        <w:rPr>
          <w:i/>
          <w:lang w:val="en-US"/>
        </w:rPr>
        <w:t>i</w:t>
      </w:r>
      <w:r w:rsidR="00AC4027" w:rsidRPr="00105CC4">
        <w:rPr>
          <w:lang w:val="en-US"/>
        </w:rPr>
        <w:t xml:space="preserve">), based in Geneva, in 2003. On a similar note, the Bill and Melinda Gates Foundation </w:t>
      </w:r>
      <w:r w:rsidRPr="00105CC4">
        <w:rPr>
          <w:lang w:val="en-US"/>
        </w:rPr>
        <w:t>(BMGF)</w:t>
      </w:r>
      <w:r w:rsidR="009567F0" w:rsidRPr="00105CC4">
        <w:rPr>
          <w:lang w:val="en-US"/>
        </w:rPr>
        <w:t xml:space="preserve"> </w:t>
      </w:r>
      <w:r w:rsidR="00AC4027" w:rsidRPr="00105CC4">
        <w:rPr>
          <w:lang w:val="en-US"/>
        </w:rPr>
        <w:t>provided a grant to establish the Foundation for Innovative and New Diagnostics (FIND), also in Geneva, in 2003.</w:t>
      </w:r>
      <w:r w:rsidRPr="00105CC4">
        <w:rPr>
          <w:lang w:val="en-US"/>
        </w:rPr>
        <w:t xml:space="preserve"> While initially focusing on new diagnostics for tuberculosis, FIND now </w:t>
      </w:r>
      <w:r w:rsidR="00FF5807" w:rsidRPr="00105CC4">
        <w:rPr>
          <w:lang w:val="en-US"/>
        </w:rPr>
        <w:t>addresses</w:t>
      </w:r>
      <w:r w:rsidRPr="00105CC4">
        <w:rPr>
          <w:lang w:val="en-US"/>
        </w:rPr>
        <w:t xml:space="preserve"> neglected conditions such as HAT, Chagas’ disease and leishmaniasis. </w:t>
      </w:r>
    </w:p>
    <w:p w:rsidR="0021534D" w:rsidRPr="00105CC4" w:rsidRDefault="001F3377" w:rsidP="0021534D">
      <w:pPr>
        <w:rPr>
          <w:lang w:val="en-US"/>
        </w:rPr>
      </w:pPr>
      <w:r w:rsidRPr="00105CC4">
        <w:rPr>
          <w:lang w:val="en-US"/>
        </w:rPr>
        <w:t xml:space="preserve">The World Health Organization (WHO) has also adapted </w:t>
      </w:r>
      <w:r w:rsidR="00026FB5" w:rsidRPr="00105CC4">
        <w:rPr>
          <w:lang w:val="en-US"/>
        </w:rPr>
        <w:t>to these developments</w:t>
      </w:r>
      <w:r w:rsidR="00FF5807" w:rsidRPr="00105CC4">
        <w:rPr>
          <w:lang w:val="en-US"/>
        </w:rPr>
        <w:t xml:space="preserve"> and </w:t>
      </w:r>
      <w:r w:rsidRPr="00105CC4">
        <w:rPr>
          <w:lang w:val="en-US"/>
        </w:rPr>
        <w:t>a Neglected Tropical Diseases department</w:t>
      </w:r>
      <w:r w:rsidR="00FF5807" w:rsidRPr="00105CC4">
        <w:rPr>
          <w:lang w:val="en-US"/>
        </w:rPr>
        <w:t xml:space="preserve"> was established</w:t>
      </w:r>
      <w:r w:rsidRPr="00105CC4">
        <w:rPr>
          <w:lang w:val="en-US"/>
        </w:rPr>
        <w:t>; on their website now feature 17 diseases and another 4 that are recognized as NTDs but that receive limited though important support</w:t>
      </w:r>
      <w:r w:rsidR="00FF5807" w:rsidRPr="00105CC4">
        <w:rPr>
          <w:lang w:val="en-US"/>
        </w:rPr>
        <w:t xml:space="preserve"> such as collection of epidemiological data and production of guidelines</w:t>
      </w:r>
      <w:r w:rsidRPr="00105CC4">
        <w:rPr>
          <w:lang w:val="en-US"/>
        </w:rPr>
        <w:t xml:space="preserve">. </w:t>
      </w:r>
      <w:r w:rsidR="00DC01EE" w:rsidRPr="00105CC4">
        <w:rPr>
          <w:lang w:val="en-US"/>
        </w:rPr>
        <w:t xml:space="preserve">[3] </w:t>
      </w:r>
      <w:r w:rsidRPr="00105CC4">
        <w:rPr>
          <w:lang w:val="en-US"/>
        </w:rPr>
        <w:t xml:space="preserve">Mycetoma was the last addition to this list in July 2013. </w:t>
      </w:r>
      <w:r w:rsidR="00275E22" w:rsidRPr="00105CC4">
        <w:rPr>
          <w:lang w:val="en-US"/>
        </w:rPr>
        <w:t xml:space="preserve">To qualify as an NTD </w:t>
      </w:r>
      <w:r w:rsidR="00923E53" w:rsidRPr="00105CC4">
        <w:rPr>
          <w:lang w:val="en-US"/>
        </w:rPr>
        <w:t>the WHO</w:t>
      </w:r>
      <w:r w:rsidR="00026FB5" w:rsidRPr="00105CC4">
        <w:rPr>
          <w:lang w:val="en-US"/>
        </w:rPr>
        <w:t xml:space="preserve"> </w:t>
      </w:r>
      <w:r w:rsidR="00923E53" w:rsidRPr="00105CC4">
        <w:rPr>
          <w:lang w:val="en-US"/>
        </w:rPr>
        <w:t xml:space="preserve">has published </w:t>
      </w:r>
      <w:proofErr w:type="gramStart"/>
      <w:r w:rsidR="00275E22" w:rsidRPr="00105CC4">
        <w:rPr>
          <w:lang w:val="en-US"/>
        </w:rPr>
        <w:t xml:space="preserve">a number </w:t>
      </w:r>
      <w:r w:rsidR="00BB665D" w:rsidRPr="00105CC4">
        <w:rPr>
          <w:lang w:val="en-US"/>
        </w:rPr>
        <w:t>of</w:t>
      </w:r>
      <w:proofErr w:type="gramEnd"/>
      <w:r w:rsidR="00BB665D" w:rsidRPr="00105CC4">
        <w:rPr>
          <w:lang w:val="en-US"/>
        </w:rPr>
        <w:t xml:space="preserve"> </w:t>
      </w:r>
      <w:r w:rsidR="00275E22" w:rsidRPr="00105CC4">
        <w:rPr>
          <w:lang w:val="en-US"/>
        </w:rPr>
        <w:t>criteria</w:t>
      </w:r>
      <w:r w:rsidR="00BB665D" w:rsidRPr="00105CC4">
        <w:rPr>
          <w:lang w:val="en-US"/>
        </w:rPr>
        <w:t xml:space="preserve"> that should be met</w:t>
      </w:r>
      <w:r w:rsidR="00923E53" w:rsidRPr="00105CC4">
        <w:rPr>
          <w:lang w:val="en-US"/>
        </w:rPr>
        <w:t>:</w:t>
      </w:r>
      <w:r w:rsidR="00275E22" w:rsidRPr="00105CC4">
        <w:rPr>
          <w:lang w:val="en-US"/>
        </w:rPr>
        <w:t xml:space="preserve"> </w:t>
      </w:r>
    </w:p>
    <w:p w:rsidR="005D3678" w:rsidRPr="00105CC4" w:rsidRDefault="000E627C" w:rsidP="0021534D">
      <w:pPr>
        <w:numPr>
          <w:ilvl w:val="0"/>
          <w:numId w:val="3"/>
        </w:numPr>
        <w:spacing w:after="0" w:line="240" w:lineRule="auto"/>
        <w:rPr>
          <w:lang w:val="en-US"/>
        </w:rPr>
      </w:pPr>
      <w:r w:rsidRPr="00105CC4">
        <w:rPr>
          <w:lang w:val="en-US"/>
        </w:rPr>
        <w:t xml:space="preserve">A proxy for poverty and disadvantage </w:t>
      </w:r>
    </w:p>
    <w:p w:rsidR="0021534D" w:rsidRPr="00105CC4" w:rsidRDefault="000E627C" w:rsidP="0021534D">
      <w:pPr>
        <w:numPr>
          <w:ilvl w:val="0"/>
          <w:numId w:val="3"/>
        </w:numPr>
        <w:spacing w:after="0" w:line="240" w:lineRule="auto"/>
        <w:rPr>
          <w:lang w:val="en-US"/>
        </w:rPr>
      </w:pPr>
      <w:r w:rsidRPr="00105CC4">
        <w:rPr>
          <w:lang w:val="en-US"/>
        </w:rPr>
        <w:lastRenderedPageBreak/>
        <w:t>Affect populations with low visibility and little political voice</w:t>
      </w:r>
    </w:p>
    <w:p w:rsidR="005D3678" w:rsidRPr="00105CC4" w:rsidRDefault="000E627C" w:rsidP="0021534D">
      <w:pPr>
        <w:numPr>
          <w:ilvl w:val="0"/>
          <w:numId w:val="3"/>
        </w:numPr>
        <w:spacing w:after="0" w:line="240" w:lineRule="auto"/>
        <w:rPr>
          <w:lang w:val="en-US"/>
        </w:rPr>
      </w:pPr>
      <w:r w:rsidRPr="00105CC4">
        <w:rPr>
          <w:rFonts w:eastAsia="+mn-ea"/>
          <w:lang w:val="en-US"/>
        </w:rPr>
        <w:t xml:space="preserve">Do not travel widely </w:t>
      </w:r>
    </w:p>
    <w:p w:rsidR="005D3678" w:rsidRPr="00105CC4" w:rsidRDefault="000E627C" w:rsidP="0021534D">
      <w:pPr>
        <w:numPr>
          <w:ilvl w:val="0"/>
          <w:numId w:val="3"/>
        </w:numPr>
        <w:spacing w:after="0" w:line="240" w:lineRule="auto"/>
        <w:rPr>
          <w:lang w:val="en-US"/>
        </w:rPr>
      </w:pPr>
      <w:r w:rsidRPr="00105CC4">
        <w:rPr>
          <w:lang w:val="en-US"/>
        </w:rPr>
        <w:t xml:space="preserve">Cause stigma and discrimination, especially of girls and women </w:t>
      </w:r>
    </w:p>
    <w:p w:rsidR="005D3678" w:rsidRPr="00105CC4" w:rsidRDefault="000E627C" w:rsidP="0021534D">
      <w:pPr>
        <w:numPr>
          <w:ilvl w:val="0"/>
          <w:numId w:val="3"/>
        </w:numPr>
        <w:spacing w:after="0" w:line="240" w:lineRule="auto"/>
        <w:rPr>
          <w:lang w:val="en-US"/>
        </w:rPr>
      </w:pPr>
      <w:r w:rsidRPr="00105CC4">
        <w:rPr>
          <w:lang w:val="en-US"/>
        </w:rPr>
        <w:t xml:space="preserve">Have an important impact on morbidity and mortality </w:t>
      </w:r>
    </w:p>
    <w:p w:rsidR="0021534D" w:rsidRPr="00105CC4" w:rsidRDefault="000E627C" w:rsidP="0021534D">
      <w:pPr>
        <w:numPr>
          <w:ilvl w:val="0"/>
          <w:numId w:val="3"/>
        </w:numPr>
        <w:spacing w:after="0" w:line="240" w:lineRule="auto"/>
      </w:pPr>
      <w:r w:rsidRPr="00105CC4">
        <w:rPr>
          <w:lang w:val="en-US"/>
        </w:rPr>
        <w:t xml:space="preserve">Are relatively neglected by research </w:t>
      </w:r>
    </w:p>
    <w:p w:rsidR="005D3678" w:rsidRPr="00105CC4" w:rsidRDefault="000E627C" w:rsidP="0021534D">
      <w:pPr>
        <w:numPr>
          <w:ilvl w:val="0"/>
          <w:numId w:val="3"/>
        </w:numPr>
        <w:spacing w:after="0" w:line="240" w:lineRule="auto"/>
        <w:rPr>
          <w:lang w:val="en-US"/>
        </w:rPr>
      </w:pPr>
      <w:r w:rsidRPr="00105CC4">
        <w:rPr>
          <w:lang w:val="en-US"/>
        </w:rPr>
        <w:t>Can be controlled, prevented and possibly eliminated using effective and feasible</w:t>
      </w:r>
      <w:r w:rsidRPr="00105CC4">
        <w:rPr>
          <w:lang w:val="en-GB"/>
        </w:rPr>
        <w:t xml:space="preserve"> s</w:t>
      </w:r>
      <w:proofErr w:type="spellStart"/>
      <w:r w:rsidRPr="00105CC4">
        <w:rPr>
          <w:lang w:val="en-US"/>
        </w:rPr>
        <w:t>olutions</w:t>
      </w:r>
      <w:proofErr w:type="spellEnd"/>
      <w:r w:rsidRPr="00105CC4">
        <w:rPr>
          <w:lang w:val="en-US"/>
        </w:rPr>
        <w:t xml:space="preserve">  </w:t>
      </w:r>
      <w:r w:rsidRPr="00105CC4">
        <w:rPr>
          <w:lang w:val="en-GB"/>
        </w:rPr>
        <w:t xml:space="preserve"> </w:t>
      </w:r>
    </w:p>
    <w:p w:rsidR="00275E22" w:rsidRPr="00105CC4" w:rsidRDefault="00275E22" w:rsidP="0021534D">
      <w:pPr>
        <w:spacing w:after="0"/>
        <w:rPr>
          <w:lang w:val="en-US"/>
        </w:rPr>
      </w:pPr>
    </w:p>
    <w:p w:rsidR="00275E22" w:rsidRPr="00105CC4" w:rsidRDefault="00275E22" w:rsidP="004A3BFA">
      <w:pPr>
        <w:rPr>
          <w:lang w:val="en-US"/>
        </w:rPr>
      </w:pPr>
    </w:p>
    <w:p w:rsidR="0008039A" w:rsidRPr="00105CC4" w:rsidRDefault="00057BE4" w:rsidP="004A3BFA">
      <w:pPr>
        <w:rPr>
          <w:lang w:val="en-US"/>
        </w:rPr>
      </w:pPr>
      <w:r w:rsidRPr="00105CC4">
        <w:rPr>
          <w:lang w:val="en-US"/>
        </w:rPr>
        <w:t xml:space="preserve">The WHO-TDR (special </w:t>
      </w:r>
      <w:proofErr w:type="spellStart"/>
      <w:r w:rsidRPr="00105CC4">
        <w:rPr>
          <w:lang w:val="en-US"/>
        </w:rPr>
        <w:t>programm</w:t>
      </w:r>
      <w:r w:rsidR="00923E53" w:rsidRPr="00105CC4">
        <w:rPr>
          <w:lang w:val="en-US"/>
        </w:rPr>
        <w:t>e</w:t>
      </w:r>
      <w:proofErr w:type="spellEnd"/>
      <w:r w:rsidRPr="00105CC4">
        <w:rPr>
          <w:lang w:val="en-US"/>
        </w:rPr>
        <w:t xml:space="preserve"> for Research and Train</w:t>
      </w:r>
      <w:r w:rsidR="00923E53" w:rsidRPr="00105CC4">
        <w:rPr>
          <w:lang w:val="en-US"/>
        </w:rPr>
        <w:t>in</w:t>
      </w:r>
      <w:r w:rsidRPr="00105CC4">
        <w:rPr>
          <w:lang w:val="en-US"/>
        </w:rPr>
        <w:t xml:space="preserve">g in Tropical Diseases) has a new 10- year strategic plan. Funding is increasingly available from BMGF, </w:t>
      </w:r>
      <w:proofErr w:type="spellStart"/>
      <w:r w:rsidRPr="00105CC4">
        <w:rPr>
          <w:lang w:val="en-US"/>
        </w:rPr>
        <w:t>Wellcome</w:t>
      </w:r>
      <w:proofErr w:type="spellEnd"/>
      <w:r w:rsidRPr="00105CC4">
        <w:rPr>
          <w:lang w:val="en-US"/>
        </w:rPr>
        <w:t xml:space="preserve"> Trust, the NIH and US and UK governments. </w:t>
      </w:r>
      <w:r w:rsidR="0008039A" w:rsidRPr="00105CC4">
        <w:rPr>
          <w:lang w:val="en-US"/>
        </w:rPr>
        <w:t xml:space="preserve">Neglected diseases are in their portfolio. </w:t>
      </w:r>
    </w:p>
    <w:p w:rsidR="000E627C" w:rsidRPr="00105CC4" w:rsidRDefault="00057BE4" w:rsidP="004A3BFA">
      <w:pPr>
        <w:rPr>
          <w:lang w:val="en-US"/>
        </w:rPr>
      </w:pPr>
      <w:proofErr w:type="gramStart"/>
      <w:r w:rsidRPr="00105CC4">
        <w:rPr>
          <w:lang w:val="en-US"/>
        </w:rPr>
        <w:t>A number of</w:t>
      </w:r>
      <w:proofErr w:type="gramEnd"/>
      <w:r w:rsidRPr="00105CC4">
        <w:rPr>
          <w:lang w:val="en-US"/>
        </w:rPr>
        <w:t xml:space="preserve"> public – private partnerships provide free dru</w:t>
      </w:r>
      <w:r w:rsidR="00923E53" w:rsidRPr="00105CC4">
        <w:rPr>
          <w:lang w:val="en-US"/>
        </w:rPr>
        <w:t>g</w:t>
      </w:r>
      <w:r w:rsidRPr="00105CC4">
        <w:rPr>
          <w:lang w:val="en-US"/>
        </w:rPr>
        <w:t>s such as for onchocerciasis (iverm</w:t>
      </w:r>
      <w:r w:rsidR="000E627C" w:rsidRPr="00105CC4">
        <w:rPr>
          <w:lang w:val="en-US"/>
        </w:rPr>
        <w:t>e</w:t>
      </w:r>
      <w:r w:rsidRPr="00105CC4">
        <w:rPr>
          <w:lang w:val="en-US"/>
        </w:rPr>
        <w:t xml:space="preserve">ctin), filariasis (albendazole) </w:t>
      </w:r>
      <w:r w:rsidR="000E627C" w:rsidRPr="00105CC4">
        <w:rPr>
          <w:lang w:val="en-US"/>
        </w:rPr>
        <w:t xml:space="preserve">and </w:t>
      </w:r>
      <w:proofErr w:type="spellStart"/>
      <w:r w:rsidR="000E627C" w:rsidRPr="00105CC4">
        <w:rPr>
          <w:lang w:val="en-US"/>
        </w:rPr>
        <w:t>azithromicin</w:t>
      </w:r>
      <w:proofErr w:type="spellEnd"/>
      <w:r w:rsidR="000E627C" w:rsidRPr="00105CC4">
        <w:rPr>
          <w:lang w:val="en-US"/>
        </w:rPr>
        <w:t xml:space="preserve"> (trachoma).</w:t>
      </w:r>
    </w:p>
    <w:p w:rsidR="00882FB0" w:rsidRPr="00105CC4" w:rsidRDefault="00882FB0" w:rsidP="004A3BFA">
      <w:pPr>
        <w:rPr>
          <w:lang w:val="en-US"/>
        </w:rPr>
      </w:pPr>
      <w:r w:rsidRPr="00105CC4">
        <w:rPr>
          <w:lang w:val="en-US"/>
        </w:rPr>
        <w:t>International journals have also increasingly embraced NTDs and mo</w:t>
      </w:r>
      <w:r w:rsidR="0021534D" w:rsidRPr="00105CC4">
        <w:rPr>
          <w:lang w:val="en-US"/>
        </w:rPr>
        <w:t>re than 1600 papers have been p</w:t>
      </w:r>
      <w:r w:rsidRPr="00105CC4">
        <w:rPr>
          <w:lang w:val="en-US"/>
        </w:rPr>
        <w:t>ublished by S</w:t>
      </w:r>
      <w:r w:rsidR="00FB4A49" w:rsidRPr="00105CC4">
        <w:rPr>
          <w:lang w:val="en-US"/>
        </w:rPr>
        <w:t>eptember 2012</w:t>
      </w:r>
      <w:r w:rsidR="00057BE4" w:rsidRPr="00105CC4">
        <w:rPr>
          <w:lang w:val="en-US"/>
        </w:rPr>
        <w:t>.</w:t>
      </w:r>
      <w:r w:rsidR="00DC01EE" w:rsidRPr="00105CC4">
        <w:rPr>
          <w:lang w:val="en-US"/>
        </w:rPr>
        <w:t xml:space="preserve"> [2]</w:t>
      </w:r>
      <w:r w:rsidR="00057BE4" w:rsidRPr="00105CC4">
        <w:rPr>
          <w:lang w:val="en-US"/>
        </w:rPr>
        <w:t xml:space="preserve"> The Public L</w:t>
      </w:r>
      <w:r w:rsidR="00FF5807" w:rsidRPr="00105CC4">
        <w:rPr>
          <w:lang w:val="en-US"/>
        </w:rPr>
        <w:t>ibrary of Science launched t</w:t>
      </w:r>
      <w:r w:rsidR="00FB4A49" w:rsidRPr="00105CC4">
        <w:rPr>
          <w:lang w:val="en-US"/>
        </w:rPr>
        <w:t xml:space="preserve">he </w:t>
      </w:r>
      <w:proofErr w:type="spellStart"/>
      <w:r w:rsidR="00FB4A49" w:rsidRPr="00105CC4">
        <w:rPr>
          <w:lang w:val="en-US"/>
        </w:rPr>
        <w:t>PLoS</w:t>
      </w:r>
      <w:proofErr w:type="spellEnd"/>
      <w:r w:rsidR="00FB4A49" w:rsidRPr="00105CC4">
        <w:rPr>
          <w:lang w:val="en-US"/>
        </w:rPr>
        <w:t xml:space="preserve"> Neglected Tropical Diseases journal as one of its open-access journals.</w:t>
      </w:r>
    </w:p>
    <w:p w:rsidR="009E6DEF" w:rsidRPr="00105CC4" w:rsidRDefault="009E6DEF" w:rsidP="000F1708">
      <w:pPr>
        <w:rPr>
          <w:b/>
          <w:lang w:val="en-US"/>
        </w:rPr>
      </w:pPr>
      <w:r w:rsidRPr="00105CC4">
        <w:rPr>
          <w:b/>
          <w:lang w:val="en-US"/>
        </w:rPr>
        <w:t>Research in Neglected Tropical diseases</w:t>
      </w:r>
    </w:p>
    <w:p w:rsidR="000F1708" w:rsidRPr="00105CC4" w:rsidRDefault="00FF5807" w:rsidP="000F1708">
      <w:pPr>
        <w:rPr>
          <w:lang w:val="en-US"/>
        </w:rPr>
      </w:pPr>
      <w:r w:rsidRPr="00105CC4">
        <w:rPr>
          <w:lang w:val="en-US"/>
        </w:rPr>
        <w:t xml:space="preserve">Who is working in neglected diseases research? </w:t>
      </w:r>
      <w:r w:rsidR="000F1708" w:rsidRPr="00105CC4">
        <w:rPr>
          <w:lang w:val="en-US"/>
        </w:rPr>
        <w:t xml:space="preserve">A complete overview of research activities in NTDs in the Netherlands is beyond the scope of this article. Traditionally, schistosomiasis research has been strong in Leiden </w:t>
      </w:r>
      <w:r w:rsidR="00BB665D" w:rsidRPr="00105CC4">
        <w:rPr>
          <w:lang w:val="en-US"/>
        </w:rPr>
        <w:t xml:space="preserve">University Medical Centre </w:t>
      </w:r>
      <w:r w:rsidR="000F1708" w:rsidRPr="00105CC4">
        <w:rPr>
          <w:lang w:val="en-US"/>
        </w:rPr>
        <w:t>(LUMC), while the Erasmus</w:t>
      </w:r>
      <w:r w:rsidR="00DC01EE" w:rsidRPr="00105CC4">
        <w:rPr>
          <w:lang w:val="en-US"/>
        </w:rPr>
        <w:t xml:space="preserve"> </w:t>
      </w:r>
      <w:r w:rsidR="000F1708" w:rsidRPr="00105CC4">
        <w:rPr>
          <w:lang w:val="en-US"/>
        </w:rPr>
        <w:t xml:space="preserve">MC continues to play a leading role in basic science research in mycetoma. More recently a </w:t>
      </w:r>
      <w:proofErr w:type="gramStart"/>
      <w:r w:rsidR="000F1708" w:rsidRPr="00105CC4">
        <w:rPr>
          <w:lang w:val="en-US"/>
        </w:rPr>
        <w:t>much needed</w:t>
      </w:r>
      <w:proofErr w:type="gramEnd"/>
      <w:r w:rsidR="000F1708" w:rsidRPr="00105CC4">
        <w:rPr>
          <w:lang w:val="en-US"/>
        </w:rPr>
        <w:t xml:space="preserve"> research line has been introduced in the field of pharmacokinetics and pharmacodynamics of drugs used in leishmaniasis, supported by DNDi, first in the AMC </w:t>
      </w:r>
      <w:r w:rsidR="00BB665D" w:rsidRPr="00105CC4">
        <w:rPr>
          <w:lang w:val="en-US"/>
        </w:rPr>
        <w:t xml:space="preserve">in Amsterdam </w:t>
      </w:r>
      <w:r w:rsidR="000F1708" w:rsidRPr="00105CC4">
        <w:rPr>
          <w:lang w:val="en-US"/>
        </w:rPr>
        <w:t xml:space="preserve">and now in </w:t>
      </w:r>
      <w:r w:rsidR="00BB665D" w:rsidRPr="00105CC4">
        <w:rPr>
          <w:lang w:val="en-US"/>
        </w:rPr>
        <w:t>the University Medical Centre in Utrecht.</w:t>
      </w:r>
      <w:r w:rsidR="000F1708" w:rsidRPr="00105CC4">
        <w:rPr>
          <w:lang w:val="en-US"/>
        </w:rPr>
        <w:t xml:space="preserve"> </w:t>
      </w:r>
    </w:p>
    <w:p w:rsidR="003D411D" w:rsidRPr="00105CC4" w:rsidRDefault="00E3574D">
      <w:pPr>
        <w:rPr>
          <w:lang w:val="en-US"/>
        </w:rPr>
      </w:pPr>
      <w:r w:rsidRPr="00105CC4">
        <w:rPr>
          <w:lang w:val="en-US"/>
        </w:rPr>
        <w:t xml:space="preserve">In the past decade the face of tropical medicine has changed. While classically this was the business of some universities and tropical medicine schools, non-governmental organizations such as MSF have taken an important role. By nature of their mandate they are working in the field and in remote areas and as such </w:t>
      </w:r>
      <w:r w:rsidR="00FF5807" w:rsidRPr="00105CC4">
        <w:rPr>
          <w:lang w:val="en-US"/>
        </w:rPr>
        <w:t xml:space="preserve">they have </w:t>
      </w:r>
      <w:r w:rsidRPr="00105CC4">
        <w:rPr>
          <w:lang w:val="en-US"/>
        </w:rPr>
        <w:t>exposure to a whole range of tropical, infectious and non-infectious conditions. While 20 years ago research was felt by many MSF workers as not part of their mandate this fortunately changed</w:t>
      </w:r>
      <w:r w:rsidR="003D411D" w:rsidRPr="00105CC4">
        <w:rPr>
          <w:lang w:val="en-US"/>
        </w:rPr>
        <w:t xml:space="preserve"> as there was a</w:t>
      </w:r>
      <w:r w:rsidR="00B229F5" w:rsidRPr="00105CC4">
        <w:rPr>
          <w:lang w:val="en-US"/>
        </w:rPr>
        <w:t xml:space="preserve"> </w:t>
      </w:r>
      <w:r w:rsidR="003D411D" w:rsidRPr="00105CC4">
        <w:rPr>
          <w:lang w:val="en-US"/>
        </w:rPr>
        <w:t>need for impr</w:t>
      </w:r>
      <w:r w:rsidR="00B229F5" w:rsidRPr="00105CC4">
        <w:rPr>
          <w:lang w:val="en-US"/>
        </w:rPr>
        <w:t>o</w:t>
      </w:r>
      <w:r w:rsidR="003D411D" w:rsidRPr="00105CC4">
        <w:rPr>
          <w:lang w:val="en-US"/>
        </w:rPr>
        <w:t>ved diagnosis, treatment etc. for better management of the conditions</w:t>
      </w:r>
      <w:r w:rsidR="00B229F5" w:rsidRPr="00105CC4">
        <w:rPr>
          <w:lang w:val="en-US"/>
        </w:rPr>
        <w:t xml:space="preserve"> </w:t>
      </w:r>
      <w:r w:rsidR="003D411D" w:rsidRPr="00105CC4">
        <w:rPr>
          <w:lang w:val="en-US"/>
        </w:rPr>
        <w:t xml:space="preserve">they encountered. In </w:t>
      </w:r>
      <w:proofErr w:type="gramStart"/>
      <w:r w:rsidR="003D411D" w:rsidRPr="00105CC4">
        <w:rPr>
          <w:lang w:val="en-US"/>
        </w:rPr>
        <w:t>addition</w:t>
      </w:r>
      <w:proofErr w:type="gramEnd"/>
      <w:r w:rsidR="003D411D" w:rsidRPr="00105CC4">
        <w:rPr>
          <w:lang w:val="en-US"/>
        </w:rPr>
        <w:t xml:space="preserve"> it was felt that </w:t>
      </w:r>
      <w:r w:rsidRPr="00105CC4">
        <w:rPr>
          <w:lang w:val="en-US"/>
        </w:rPr>
        <w:t xml:space="preserve">the organization </w:t>
      </w:r>
      <w:r w:rsidR="003D411D" w:rsidRPr="00105CC4">
        <w:rPr>
          <w:lang w:val="en-US"/>
        </w:rPr>
        <w:t>had</w:t>
      </w:r>
      <w:r w:rsidRPr="00105CC4">
        <w:rPr>
          <w:lang w:val="en-US"/>
        </w:rPr>
        <w:t xml:space="preserve"> a moral duty to make optimal use of their </w:t>
      </w:r>
      <w:r w:rsidR="003D411D" w:rsidRPr="00105CC4">
        <w:rPr>
          <w:lang w:val="en-US"/>
        </w:rPr>
        <w:t xml:space="preserve">strong </w:t>
      </w:r>
      <w:r w:rsidRPr="00105CC4">
        <w:rPr>
          <w:lang w:val="en-US"/>
        </w:rPr>
        <w:t xml:space="preserve">presence in the field and carry out research with or without other partners. </w:t>
      </w:r>
      <w:r w:rsidR="003D411D" w:rsidRPr="00105CC4">
        <w:rPr>
          <w:lang w:val="en-US"/>
        </w:rPr>
        <w:t>N</w:t>
      </w:r>
      <w:r w:rsidRPr="00105CC4">
        <w:rPr>
          <w:lang w:val="en-US"/>
        </w:rPr>
        <w:t xml:space="preserve">ow we have </w:t>
      </w:r>
      <w:r w:rsidR="000F1708" w:rsidRPr="00105CC4">
        <w:rPr>
          <w:lang w:val="en-US"/>
        </w:rPr>
        <w:t xml:space="preserve">numerous </w:t>
      </w:r>
      <w:r w:rsidRPr="00105CC4">
        <w:rPr>
          <w:lang w:val="en-US"/>
        </w:rPr>
        <w:t xml:space="preserve">examples of excellent contributions to the management of a variety of conditions. </w:t>
      </w:r>
      <w:r w:rsidR="00923E53" w:rsidRPr="00105CC4">
        <w:rPr>
          <w:lang w:val="en-US"/>
        </w:rPr>
        <w:t xml:space="preserve"> </w:t>
      </w:r>
      <w:proofErr w:type="gramStart"/>
      <w:r w:rsidR="00923E53" w:rsidRPr="00105CC4">
        <w:rPr>
          <w:lang w:val="en-US"/>
        </w:rPr>
        <w:t>Indeed</w:t>
      </w:r>
      <w:proofErr w:type="gramEnd"/>
      <w:r w:rsidR="00923E53" w:rsidRPr="00105CC4">
        <w:rPr>
          <w:lang w:val="en-US"/>
        </w:rPr>
        <w:t xml:space="preserve"> </w:t>
      </w:r>
      <w:r w:rsidR="003D411D" w:rsidRPr="00105CC4">
        <w:rPr>
          <w:lang w:val="en-US"/>
        </w:rPr>
        <w:t xml:space="preserve">MSF is </w:t>
      </w:r>
      <w:r w:rsidR="00923E53" w:rsidRPr="00105CC4">
        <w:rPr>
          <w:lang w:val="en-US"/>
        </w:rPr>
        <w:t xml:space="preserve">now </w:t>
      </w:r>
      <w:r w:rsidR="003D411D" w:rsidRPr="00105CC4">
        <w:rPr>
          <w:lang w:val="en-US"/>
        </w:rPr>
        <w:t>a leading p</w:t>
      </w:r>
      <w:r w:rsidRPr="00105CC4">
        <w:rPr>
          <w:lang w:val="en-US"/>
        </w:rPr>
        <w:t xml:space="preserve">layer </w:t>
      </w:r>
      <w:r w:rsidR="003D411D" w:rsidRPr="00105CC4">
        <w:rPr>
          <w:lang w:val="en-US"/>
        </w:rPr>
        <w:t>i</w:t>
      </w:r>
      <w:r w:rsidRPr="00105CC4">
        <w:rPr>
          <w:lang w:val="en-US"/>
        </w:rPr>
        <w:t xml:space="preserve">n </w:t>
      </w:r>
      <w:r w:rsidR="003D411D" w:rsidRPr="00105CC4">
        <w:rPr>
          <w:lang w:val="en-US"/>
        </w:rPr>
        <w:t xml:space="preserve">the whole field of </w:t>
      </w:r>
      <w:r w:rsidRPr="00105CC4">
        <w:rPr>
          <w:lang w:val="en-US"/>
        </w:rPr>
        <w:t xml:space="preserve">tropical medicine </w:t>
      </w:r>
      <w:r w:rsidR="003D411D" w:rsidRPr="00105CC4">
        <w:rPr>
          <w:lang w:val="en-US"/>
        </w:rPr>
        <w:t xml:space="preserve">research. </w:t>
      </w:r>
    </w:p>
    <w:p w:rsidR="00923E53" w:rsidRPr="00105CC4" w:rsidRDefault="00923E53" w:rsidP="00923E53">
      <w:pPr>
        <w:rPr>
          <w:lang w:val="en-US"/>
        </w:rPr>
      </w:pPr>
      <w:r w:rsidRPr="00105CC4">
        <w:rPr>
          <w:lang w:val="en-US"/>
        </w:rPr>
        <w:t xml:space="preserve">Another good </w:t>
      </w:r>
      <w:r w:rsidR="003D411D" w:rsidRPr="00105CC4">
        <w:rPr>
          <w:lang w:val="en-US"/>
        </w:rPr>
        <w:t xml:space="preserve">example is DNDi that was founded by MSF </w:t>
      </w:r>
      <w:r w:rsidR="00BB665D" w:rsidRPr="00105CC4">
        <w:rPr>
          <w:lang w:val="en-US"/>
        </w:rPr>
        <w:t xml:space="preserve">(and other partners) </w:t>
      </w:r>
      <w:r w:rsidR="003D411D" w:rsidRPr="00105CC4">
        <w:rPr>
          <w:lang w:val="en-US"/>
        </w:rPr>
        <w:t>to address the issue of lack of drugs for the neglected diseases.</w:t>
      </w:r>
      <w:r w:rsidRPr="00105CC4">
        <w:rPr>
          <w:lang w:val="en-US"/>
        </w:rPr>
        <w:t xml:space="preserve"> DNDi has developed new treatments for leishmaniasis that are easier to administer, with shorter duration and less side-effects. In East Africa a combination therapy of SSG and paromomycin for 17 days has now replaced monotherapy with stibogluconate for 30 days. </w:t>
      </w:r>
      <w:r w:rsidR="000F1708" w:rsidRPr="00105CC4">
        <w:rPr>
          <w:lang w:val="en-US"/>
        </w:rPr>
        <w:t>New compounds are in the pipeline</w:t>
      </w:r>
      <w:r w:rsidR="00BB665D" w:rsidRPr="00105CC4">
        <w:rPr>
          <w:lang w:val="en-US"/>
        </w:rPr>
        <w:t xml:space="preserve"> such as fexinidazole</w:t>
      </w:r>
      <w:r w:rsidR="000F1708" w:rsidRPr="00105CC4">
        <w:rPr>
          <w:lang w:val="en-US"/>
        </w:rPr>
        <w:t xml:space="preserve">. </w:t>
      </w:r>
      <w:r w:rsidRPr="00105CC4">
        <w:rPr>
          <w:lang w:val="en-US"/>
        </w:rPr>
        <w:t xml:space="preserve">Another example is the </w:t>
      </w:r>
      <w:r w:rsidRPr="00105CC4">
        <w:rPr>
          <w:lang w:val="en-US"/>
        </w:rPr>
        <w:lastRenderedPageBreak/>
        <w:t xml:space="preserve">introduction of nifurtimox - eflornithine combination therapy (NECT) for HAT reducing the duration of monotherapy </w:t>
      </w:r>
      <w:proofErr w:type="gramStart"/>
      <w:r w:rsidRPr="00105CC4">
        <w:rPr>
          <w:lang w:val="en-US"/>
        </w:rPr>
        <w:t>with  eflornithine</w:t>
      </w:r>
      <w:proofErr w:type="gramEnd"/>
      <w:r w:rsidRPr="00105CC4">
        <w:rPr>
          <w:lang w:val="en-US"/>
        </w:rPr>
        <w:t xml:space="preserve"> infusions from 14 days (4 times for day) to 10 days (twice per day only), in combination with nifurtimox as an oral treatment, with similar efficacy. Other conditions in the research agenda are </w:t>
      </w:r>
      <w:proofErr w:type="spellStart"/>
      <w:r w:rsidRPr="00105CC4">
        <w:rPr>
          <w:lang w:val="en-US"/>
        </w:rPr>
        <w:t>paediatric</w:t>
      </w:r>
      <w:proofErr w:type="spellEnd"/>
      <w:r w:rsidRPr="00105CC4">
        <w:rPr>
          <w:lang w:val="en-US"/>
        </w:rPr>
        <w:t xml:space="preserve"> HIV treatment, </w:t>
      </w:r>
      <w:proofErr w:type="spellStart"/>
      <w:r w:rsidR="009375DE" w:rsidRPr="00105CC4">
        <w:rPr>
          <w:lang w:val="en-US"/>
        </w:rPr>
        <w:t>filiarial</w:t>
      </w:r>
      <w:proofErr w:type="spellEnd"/>
      <w:r w:rsidR="009375DE" w:rsidRPr="00105CC4">
        <w:rPr>
          <w:lang w:val="en-US"/>
        </w:rPr>
        <w:t xml:space="preserve"> diseases</w:t>
      </w:r>
      <w:r w:rsidRPr="00105CC4">
        <w:rPr>
          <w:lang w:val="en-US"/>
        </w:rPr>
        <w:t xml:space="preserve"> and Chagas’ disease.</w:t>
      </w:r>
      <w:r w:rsidR="00DC01EE" w:rsidRPr="00105CC4">
        <w:rPr>
          <w:lang w:val="en-US"/>
        </w:rPr>
        <w:t xml:space="preserve"> [4]</w:t>
      </w:r>
    </w:p>
    <w:p w:rsidR="00DC01EE" w:rsidRPr="00105CC4" w:rsidRDefault="009567F0">
      <w:pPr>
        <w:rPr>
          <w:lang w:val="en-US"/>
        </w:rPr>
      </w:pPr>
      <w:r w:rsidRPr="00105CC4">
        <w:rPr>
          <w:lang w:val="en-US"/>
        </w:rPr>
        <w:t xml:space="preserve">In January 2013, a collaborative disease eradication </w:t>
      </w:r>
      <w:proofErr w:type="spellStart"/>
      <w:r w:rsidRPr="00105CC4">
        <w:rPr>
          <w:lang w:val="en-US"/>
        </w:rPr>
        <w:t>programme</w:t>
      </w:r>
      <w:proofErr w:type="spellEnd"/>
      <w:r w:rsidRPr="00105CC4">
        <w:rPr>
          <w:lang w:val="en-US"/>
        </w:rPr>
        <w:t xml:space="preserve"> was launched that is committed to eradicate, eliminate or control 10 NTDs. </w:t>
      </w:r>
      <w:proofErr w:type="gramStart"/>
      <w:r w:rsidRPr="00105CC4">
        <w:rPr>
          <w:lang w:val="en-US"/>
        </w:rPr>
        <w:t>This so-called London Declaration on Tropical diseases</w:t>
      </w:r>
      <w:proofErr w:type="gramEnd"/>
      <w:r w:rsidRPr="00105CC4">
        <w:rPr>
          <w:lang w:val="en-US"/>
        </w:rPr>
        <w:t xml:space="preserve"> was endorsed by, among others, the WHO, the World</w:t>
      </w:r>
      <w:r w:rsidR="00DC01EE" w:rsidRPr="00105CC4">
        <w:rPr>
          <w:lang w:val="en-US"/>
        </w:rPr>
        <w:t xml:space="preserve"> B</w:t>
      </w:r>
      <w:r w:rsidRPr="00105CC4">
        <w:rPr>
          <w:lang w:val="en-US"/>
        </w:rPr>
        <w:t>ank, DNDi, USAID,</w:t>
      </w:r>
      <w:r w:rsidR="00DC01EE" w:rsidRPr="00105CC4">
        <w:rPr>
          <w:lang w:val="en-US"/>
        </w:rPr>
        <w:t xml:space="preserve"> </w:t>
      </w:r>
      <w:r w:rsidRPr="00105CC4">
        <w:rPr>
          <w:lang w:val="en-US"/>
        </w:rPr>
        <w:t xml:space="preserve">leading pharmaceutical companies and the BMGF. </w:t>
      </w:r>
      <w:r w:rsidR="00DC01EE" w:rsidRPr="00105CC4">
        <w:rPr>
          <w:lang w:val="en-US"/>
        </w:rPr>
        <w:t>[5]</w:t>
      </w:r>
    </w:p>
    <w:p w:rsidR="009E6DEF" w:rsidRPr="00105CC4" w:rsidRDefault="009E6DEF">
      <w:pPr>
        <w:rPr>
          <w:b/>
          <w:lang w:val="en-US"/>
        </w:rPr>
      </w:pPr>
    </w:p>
    <w:p w:rsidR="009E6DEF" w:rsidRPr="00105CC4" w:rsidRDefault="009E6DEF">
      <w:pPr>
        <w:rPr>
          <w:b/>
          <w:lang w:val="en-US"/>
        </w:rPr>
      </w:pPr>
      <w:r w:rsidRPr="00105CC4">
        <w:rPr>
          <w:b/>
          <w:lang w:val="en-US"/>
        </w:rPr>
        <w:t>The future</w:t>
      </w:r>
    </w:p>
    <w:p w:rsidR="002800B4" w:rsidRPr="00105CC4" w:rsidRDefault="002800B4">
      <w:pPr>
        <w:rPr>
          <w:lang w:val="en-US"/>
        </w:rPr>
      </w:pPr>
      <w:r w:rsidRPr="00105CC4">
        <w:rPr>
          <w:lang w:val="en-US"/>
        </w:rPr>
        <w:t xml:space="preserve">While the </w:t>
      </w:r>
      <w:r w:rsidR="009E6DEF" w:rsidRPr="00105CC4">
        <w:rPr>
          <w:lang w:val="en-US"/>
        </w:rPr>
        <w:t xml:space="preserve">advocacy for </w:t>
      </w:r>
      <w:r w:rsidRPr="00105CC4">
        <w:rPr>
          <w:lang w:val="en-US"/>
        </w:rPr>
        <w:t xml:space="preserve">NTDs </w:t>
      </w:r>
      <w:r w:rsidR="009E6DEF" w:rsidRPr="00105CC4">
        <w:rPr>
          <w:lang w:val="en-US"/>
        </w:rPr>
        <w:t xml:space="preserve">has been successful and already a lot has been achieved, </w:t>
      </w:r>
      <w:r w:rsidRPr="00105CC4">
        <w:rPr>
          <w:lang w:val="en-US"/>
        </w:rPr>
        <w:t xml:space="preserve">a new set of conditions are now </w:t>
      </w:r>
      <w:r w:rsidR="009E6DEF" w:rsidRPr="00105CC4">
        <w:rPr>
          <w:lang w:val="en-US"/>
        </w:rPr>
        <w:t xml:space="preserve">more and more coming </w:t>
      </w:r>
      <w:r w:rsidRPr="00105CC4">
        <w:rPr>
          <w:lang w:val="en-US"/>
        </w:rPr>
        <w:t>in</w:t>
      </w:r>
      <w:r w:rsidR="009E6DEF" w:rsidRPr="00105CC4">
        <w:rPr>
          <w:lang w:val="en-US"/>
        </w:rPr>
        <w:t>to</w:t>
      </w:r>
      <w:r w:rsidRPr="00105CC4">
        <w:rPr>
          <w:lang w:val="en-US"/>
        </w:rPr>
        <w:t xml:space="preserve"> the picture: the non-communicable disease</w:t>
      </w:r>
      <w:r w:rsidR="009E6DEF" w:rsidRPr="00105CC4">
        <w:rPr>
          <w:lang w:val="en-US"/>
        </w:rPr>
        <w:t>s</w:t>
      </w:r>
      <w:r w:rsidRPr="00105CC4">
        <w:rPr>
          <w:lang w:val="en-US"/>
        </w:rPr>
        <w:t xml:space="preserve"> that are more seriously neglected and for much longer than any other group of conditions. Hypertension, diabetes mellitus, and heart failure (from whatever cause) are common </w:t>
      </w:r>
      <w:r w:rsidR="009E6DEF" w:rsidRPr="00105CC4">
        <w:rPr>
          <w:lang w:val="en-US"/>
        </w:rPr>
        <w:t xml:space="preserve">throughout the tropics </w:t>
      </w:r>
      <w:r w:rsidRPr="00105CC4">
        <w:rPr>
          <w:lang w:val="en-US"/>
        </w:rPr>
        <w:t xml:space="preserve">and may become even more important as urbanization increases with changes in dietary habits etc. A different approach is needed here; for </w:t>
      </w:r>
      <w:proofErr w:type="gramStart"/>
      <w:r w:rsidRPr="00105CC4">
        <w:rPr>
          <w:lang w:val="en-US"/>
        </w:rPr>
        <w:t>example</w:t>
      </w:r>
      <w:proofErr w:type="gramEnd"/>
      <w:r w:rsidRPr="00105CC4">
        <w:rPr>
          <w:lang w:val="en-US"/>
        </w:rPr>
        <w:t xml:space="preserve"> for diabetes the drugs needed are largely there; the problem is in patient education, impr</w:t>
      </w:r>
      <w:r w:rsidR="00A5490C" w:rsidRPr="00105CC4">
        <w:rPr>
          <w:lang w:val="en-US"/>
        </w:rPr>
        <w:t>o</w:t>
      </w:r>
      <w:r w:rsidRPr="00105CC4">
        <w:rPr>
          <w:lang w:val="en-US"/>
        </w:rPr>
        <w:t xml:space="preserve">ved nursing care and ensuring uninterrupted drug delivery. This also applies to hypertension and heart failure, but here there is a </w:t>
      </w:r>
      <w:r w:rsidR="00A5490C" w:rsidRPr="00105CC4">
        <w:rPr>
          <w:lang w:val="en-US"/>
        </w:rPr>
        <w:t xml:space="preserve">pressing </w:t>
      </w:r>
      <w:r w:rsidRPr="00105CC4">
        <w:rPr>
          <w:lang w:val="en-US"/>
        </w:rPr>
        <w:t xml:space="preserve">need to carry out research studies </w:t>
      </w:r>
      <w:r w:rsidR="00A5490C" w:rsidRPr="00105CC4">
        <w:rPr>
          <w:lang w:val="en-US"/>
        </w:rPr>
        <w:t>as the tremend</w:t>
      </w:r>
      <w:r w:rsidRPr="00105CC4">
        <w:rPr>
          <w:lang w:val="en-US"/>
        </w:rPr>
        <w:t xml:space="preserve">ous </w:t>
      </w:r>
      <w:r w:rsidR="00A5490C" w:rsidRPr="00105CC4">
        <w:rPr>
          <w:lang w:val="en-US"/>
        </w:rPr>
        <w:t>amount of knowledge on hypertension and heart failure comes from studies in western populations. These do not necessarily apply to</w:t>
      </w:r>
      <w:r w:rsidR="00D81374" w:rsidRPr="00105CC4">
        <w:rPr>
          <w:lang w:val="en-US"/>
        </w:rPr>
        <w:t xml:space="preserve"> non-</w:t>
      </w:r>
      <w:proofErr w:type="spellStart"/>
      <w:r w:rsidR="00D81374" w:rsidRPr="00105CC4">
        <w:rPr>
          <w:lang w:val="en-US"/>
        </w:rPr>
        <w:t>causacian</w:t>
      </w:r>
      <w:proofErr w:type="spellEnd"/>
      <w:r w:rsidR="00A5490C" w:rsidRPr="00105CC4">
        <w:rPr>
          <w:lang w:val="en-US"/>
        </w:rPr>
        <w:t xml:space="preserve"> populat</w:t>
      </w:r>
      <w:bookmarkStart w:id="0" w:name="_GoBack"/>
      <w:bookmarkEnd w:id="0"/>
      <w:r w:rsidR="00A5490C" w:rsidRPr="00105CC4">
        <w:rPr>
          <w:lang w:val="en-US"/>
        </w:rPr>
        <w:t xml:space="preserve">ions as was shown in studies in the USA when comparing results in white and black Americans. </w:t>
      </w:r>
      <w:r w:rsidRPr="00105CC4">
        <w:rPr>
          <w:lang w:val="en-US"/>
        </w:rPr>
        <w:t xml:space="preserve"> </w:t>
      </w:r>
    </w:p>
    <w:p w:rsidR="00B229F5" w:rsidRPr="00105CC4" w:rsidRDefault="009E6DEF">
      <w:pPr>
        <w:rPr>
          <w:lang w:val="en-US"/>
        </w:rPr>
      </w:pPr>
      <w:r w:rsidRPr="00105CC4">
        <w:rPr>
          <w:lang w:val="en-US"/>
        </w:rPr>
        <w:t>The advance of neglected diseases will be unstoppable; they are fashionable and attract attention in the media and therefore donors are more and more interested. This may be at the expense of other conditions; some already fear that the big three (malaria, HIV/AIDS and TB) are now at risk of becoming neglected</w:t>
      </w:r>
      <w:r w:rsidR="00D81374" w:rsidRPr="00105CC4">
        <w:rPr>
          <w:lang w:val="en-US"/>
        </w:rPr>
        <w:t xml:space="preserve">. And now the non-communicable conditions are starting to compete for the limited funds available, the principal reason for this </w:t>
      </w:r>
      <w:r w:rsidR="00BB665D" w:rsidRPr="00105CC4">
        <w:rPr>
          <w:lang w:val="en-US"/>
        </w:rPr>
        <w:t xml:space="preserve">unnecessary </w:t>
      </w:r>
      <w:r w:rsidR="00D81374" w:rsidRPr="00105CC4">
        <w:rPr>
          <w:lang w:val="en-US"/>
        </w:rPr>
        <w:t xml:space="preserve">dividing up of tropical medicine in categories.  </w:t>
      </w:r>
    </w:p>
    <w:p w:rsidR="00BB665D" w:rsidRPr="00105CC4" w:rsidRDefault="00BB665D">
      <w:pPr>
        <w:rPr>
          <w:u w:val="single"/>
          <w:lang w:val="en-US"/>
        </w:rPr>
      </w:pPr>
    </w:p>
    <w:p w:rsidR="005F7474" w:rsidRPr="00105CC4" w:rsidRDefault="005F7474">
      <w:pPr>
        <w:rPr>
          <w:u w:val="single"/>
          <w:lang w:val="en-US"/>
        </w:rPr>
      </w:pPr>
      <w:r w:rsidRPr="00105CC4">
        <w:rPr>
          <w:u w:val="single"/>
          <w:lang w:val="en-US"/>
        </w:rPr>
        <w:t>Literature</w:t>
      </w:r>
    </w:p>
    <w:p w:rsidR="00656699" w:rsidRPr="00105CC4" w:rsidRDefault="00656699" w:rsidP="00656699">
      <w:pPr>
        <w:shd w:val="clear" w:color="auto" w:fill="FFFFFF"/>
        <w:spacing w:after="0" w:line="240" w:lineRule="auto"/>
        <w:rPr>
          <w:rFonts w:eastAsia="Times New Roman" w:cs="Arial"/>
          <w:lang w:val="en-GB" w:eastAsia="nl-NL"/>
        </w:rPr>
      </w:pPr>
    </w:p>
    <w:p w:rsidR="00DC01EE" w:rsidRPr="00105CC4" w:rsidRDefault="00DC01EE" w:rsidP="00DC01EE">
      <w:pPr>
        <w:autoSpaceDE w:val="0"/>
        <w:autoSpaceDN w:val="0"/>
        <w:adjustRightInd w:val="0"/>
        <w:spacing w:after="0" w:line="240" w:lineRule="auto"/>
        <w:rPr>
          <w:rFonts w:cs="Arial"/>
          <w:iCs/>
          <w:lang w:val="nl-NL"/>
        </w:rPr>
      </w:pPr>
      <w:r w:rsidRPr="00105CC4">
        <w:t xml:space="preserve">1. </w:t>
      </w:r>
      <w:hyperlink r:id="rId7" w:history="1">
        <w:proofErr w:type="spellStart"/>
        <w:r w:rsidR="00656699" w:rsidRPr="00105CC4">
          <w:rPr>
            <w:rFonts w:eastAsia="Times New Roman" w:cs="Arial"/>
            <w:lang w:val="en-US" w:eastAsia="nl-NL"/>
          </w:rPr>
          <w:t>Trouiller</w:t>
        </w:r>
        <w:proofErr w:type="spellEnd"/>
        <w:r w:rsidR="00656699" w:rsidRPr="00105CC4">
          <w:rPr>
            <w:rFonts w:eastAsia="Times New Roman" w:cs="Arial"/>
            <w:lang w:val="en-US" w:eastAsia="nl-NL"/>
          </w:rPr>
          <w:t xml:space="preserve"> P</w:t>
        </w:r>
      </w:hyperlink>
      <w:r w:rsidR="00656699" w:rsidRPr="00105CC4">
        <w:rPr>
          <w:rFonts w:eastAsia="Times New Roman" w:cs="Arial"/>
          <w:lang w:val="en-US" w:eastAsia="nl-NL"/>
        </w:rPr>
        <w:t xml:space="preserve">, </w:t>
      </w:r>
      <w:hyperlink r:id="rId8" w:history="1">
        <w:r w:rsidR="00656699" w:rsidRPr="00105CC4">
          <w:rPr>
            <w:rFonts w:eastAsia="Times New Roman" w:cs="Arial"/>
            <w:lang w:val="en-US" w:eastAsia="nl-NL"/>
          </w:rPr>
          <w:t>Olliaro P</w:t>
        </w:r>
      </w:hyperlink>
      <w:r w:rsidR="00656699" w:rsidRPr="00105CC4">
        <w:rPr>
          <w:rFonts w:eastAsia="Times New Roman" w:cs="Arial"/>
          <w:lang w:val="en-US" w:eastAsia="nl-NL"/>
        </w:rPr>
        <w:t xml:space="preserve">, </w:t>
      </w:r>
      <w:hyperlink r:id="rId9" w:history="1">
        <w:proofErr w:type="spellStart"/>
        <w:r w:rsidR="00656699" w:rsidRPr="00105CC4">
          <w:rPr>
            <w:rFonts w:eastAsia="Times New Roman" w:cs="Arial"/>
            <w:lang w:val="en-US" w:eastAsia="nl-NL"/>
          </w:rPr>
          <w:t>Torreele</w:t>
        </w:r>
        <w:proofErr w:type="spellEnd"/>
        <w:r w:rsidR="00656699" w:rsidRPr="00105CC4">
          <w:rPr>
            <w:rFonts w:eastAsia="Times New Roman" w:cs="Arial"/>
            <w:lang w:val="en-US" w:eastAsia="nl-NL"/>
          </w:rPr>
          <w:t xml:space="preserve"> E</w:t>
        </w:r>
      </w:hyperlink>
      <w:r w:rsidR="00656699" w:rsidRPr="00105CC4">
        <w:rPr>
          <w:rFonts w:eastAsia="Times New Roman" w:cs="Arial"/>
          <w:lang w:val="en-US" w:eastAsia="nl-NL"/>
        </w:rPr>
        <w:t xml:space="preserve">, </w:t>
      </w:r>
      <w:hyperlink r:id="rId10" w:history="1">
        <w:proofErr w:type="spellStart"/>
        <w:r w:rsidR="00656699" w:rsidRPr="00105CC4">
          <w:rPr>
            <w:rFonts w:eastAsia="Times New Roman" w:cs="Arial"/>
            <w:lang w:val="en-US" w:eastAsia="nl-NL"/>
          </w:rPr>
          <w:t>Orbinski</w:t>
        </w:r>
        <w:proofErr w:type="spellEnd"/>
        <w:r w:rsidR="00656699" w:rsidRPr="00105CC4">
          <w:rPr>
            <w:rFonts w:eastAsia="Times New Roman" w:cs="Arial"/>
            <w:lang w:val="en-US" w:eastAsia="nl-NL"/>
          </w:rPr>
          <w:t xml:space="preserve"> J</w:t>
        </w:r>
      </w:hyperlink>
      <w:r w:rsidR="00656699" w:rsidRPr="00105CC4">
        <w:rPr>
          <w:rFonts w:eastAsia="Times New Roman" w:cs="Arial"/>
          <w:lang w:val="en-US" w:eastAsia="nl-NL"/>
        </w:rPr>
        <w:t xml:space="preserve">, </w:t>
      </w:r>
      <w:hyperlink r:id="rId11" w:history="1">
        <w:r w:rsidR="00656699" w:rsidRPr="00105CC4">
          <w:rPr>
            <w:rFonts w:eastAsia="Times New Roman" w:cs="Arial"/>
            <w:lang w:val="en-US" w:eastAsia="nl-NL"/>
          </w:rPr>
          <w:t>Laing R</w:t>
        </w:r>
      </w:hyperlink>
      <w:r w:rsidR="00656699" w:rsidRPr="00105CC4">
        <w:rPr>
          <w:rFonts w:eastAsia="Times New Roman" w:cs="Arial"/>
          <w:lang w:val="en-US" w:eastAsia="nl-NL"/>
        </w:rPr>
        <w:t xml:space="preserve">, </w:t>
      </w:r>
      <w:hyperlink r:id="rId12" w:history="1">
        <w:r w:rsidR="00656699" w:rsidRPr="00105CC4">
          <w:rPr>
            <w:rFonts w:eastAsia="Times New Roman" w:cs="Arial"/>
            <w:lang w:val="en-US" w:eastAsia="nl-NL"/>
          </w:rPr>
          <w:t>Ford N</w:t>
        </w:r>
      </w:hyperlink>
      <w:r w:rsidR="00656699" w:rsidRPr="00105CC4">
        <w:rPr>
          <w:rFonts w:eastAsia="Times New Roman" w:cs="Arial"/>
          <w:lang w:val="en-US" w:eastAsia="nl-NL"/>
        </w:rPr>
        <w:t>.</w:t>
      </w:r>
      <w:r w:rsidR="009C4E48" w:rsidRPr="00105CC4">
        <w:rPr>
          <w:rFonts w:eastAsia="Times New Roman" w:cs="Arial"/>
          <w:lang w:val="en-US" w:eastAsia="nl-NL"/>
        </w:rPr>
        <w:t xml:space="preserve"> </w:t>
      </w:r>
      <w:r w:rsidR="00656699" w:rsidRPr="00105CC4">
        <w:rPr>
          <w:rFonts w:eastAsia="Times New Roman" w:cs="Arial"/>
          <w:bCs/>
          <w:kern w:val="36"/>
          <w:lang w:val="en-US" w:eastAsia="nl-NL"/>
        </w:rPr>
        <w:t>Drug development for neglected diseases: a deficient market and a public-health policy failure.</w:t>
      </w:r>
      <w:r w:rsidR="00656699" w:rsidRPr="00105CC4">
        <w:rPr>
          <w:rFonts w:eastAsia="Times New Roman" w:cs="Arial"/>
          <w:lang w:val="en-US" w:eastAsia="nl-NL"/>
        </w:rPr>
        <w:t xml:space="preserve"> </w:t>
      </w:r>
      <w:hyperlink r:id="rId13" w:tooltip="Lancet." w:history="1"/>
      <w:r w:rsidR="009C4E48" w:rsidRPr="00105CC4">
        <w:rPr>
          <w:rFonts w:eastAsia="Times New Roman" w:cs="Arial"/>
          <w:lang w:val="en-US" w:eastAsia="nl-NL"/>
        </w:rPr>
        <w:t xml:space="preserve"> Lancet </w:t>
      </w:r>
      <w:r w:rsidR="00656699" w:rsidRPr="00105CC4">
        <w:rPr>
          <w:rFonts w:eastAsia="Times New Roman" w:cs="Arial"/>
          <w:lang w:val="en-US" w:eastAsia="nl-NL"/>
        </w:rPr>
        <w:t>2002</w:t>
      </w:r>
      <w:r w:rsidR="009C4E48" w:rsidRPr="00105CC4">
        <w:rPr>
          <w:rFonts w:eastAsia="Times New Roman" w:cs="Arial"/>
          <w:lang w:val="en-US" w:eastAsia="nl-NL"/>
        </w:rPr>
        <w:t xml:space="preserve">; </w:t>
      </w:r>
      <w:r w:rsidR="00656699" w:rsidRPr="00105CC4">
        <w:rPr>
          <w:rFonts w:eastAsia="Times New Roman" w:cs="Arial"/>
          <w:lang w:val="en-US" w:eastAsia="nl-NL"/>
        </w:rPr>
        <w:t>359:2188-94.</w:t>
      </w:r>
      <w:r w:rsidRPr="00105CC4">
        <w:rPr>
          <w:rFonts w:cs="Arial"/>
          <w:iCs/>
          <w:lang w:val="nl-NL"/>
        </w:rPr>
        <w:t xml:space="preserve"> </w:t>
      </w:r>
    </w:p>
    <w:p w:rsidR="00DC01EE" w:rsidRPr="00105CC4" w:rsidRDefault="00DC01EE" w:rsidP="00DC01EE">
      <w:pPr>
        <w:rPr>
          <w:rFonts w:cs="Arial"/>
          <w:iCs/>
          <w:lang w:val="nl-NL"/>
        </w:rPr>
      </w:pPr>
    </w:p>
    <w:p w:rsidR="00DC01EE" w:rsidRPr="00105CC4" w:rsidRDefault="00DC01EE" w:rsidP="00DC01EE">
      <w:pPr>
        <w:rPr>
          <w:rFonts w:cs="Arial"/>
          <w:lang w:val="en-US"/>
        </w:rPr>
      </w:pPr>
      <w:r w:rsidRPr="00105CC4">
        <w:rPr>
          <w:rFonts w:cs="Arial"/>
          <w:iCs/>
          <w:lang w:val="nl-NL"/>
        </w:rPr>
        <w:t xml:space="preserve">2. Utzinger J, Becker SL, Knoppa S,Blum J, Neumayr AL, Keiser J, Hatz CF. </w:t>
      </w:r>
      <w:r w:rsidRPr="00105CC4">
        <w:rPr>
          <w:rFonts w:cs="Arial"/>
          <w:bCs/>
          <w:lang w:val="en-US"/>
        </w:rPr>
        <w:t xml:space="preserve">Neglected tropical diseases: diagnosis, clinical management, treatment and control. </w:t>
      </w:r>
      <w:r w:rsidRPr="00105CC4">
        <w:rPr>
          <w:rFonts w:cs="Arial"/>
          <w:lang w:val="en-US"/>
        </w:rPr>
        <w:t>Swiss Med Wkly. 2012;</w:t>
      </w:r>
      <w:proofErr w:type="gramStart"/>
      <w:r w:rsidRPr="00105CC4">
        <w:rPr>
          <w:rFonts w:cs="Arial"/>
          <w:lang w:val="en-US"/>
        </w:rPr>
        <w:t>142:w</w:t>
      </w:r>
      <w:proofErr w:type="gramEnd"/>
      <w:r w:rsidRPr="00105CC4">
        <w:rPr>
          <w:rFonts w:cs="Arial"/>
          <w:lang w:val="en-US"/>
        </w:rPr>
        <w:t>13727</w:t>
      </w:r>
    </w:p>
    <w:p w:rsidR="00DC01EE" w:rsidRPr="00105CC4" w:rsidRDefault="00DC01EE" w:rsidP="00DC01EE">
      <w:pPr>
        <w:rPr>
          <w:color w:val="0070C0"/>
          <w:u w:val="single"/>
          <w:lang w:val="en-US"/>
        </w:rPr>
      </w:pPr>
      <w:r w:rsidRPr="00105CC4">
        <w:rPr>
          <w:lang w:val="en-US"/>
        </w:rPr>
        <w:t>3</w:t>
      </w:r>
      <w:r w:rsidRPr="00105CC4">
        <w:rPr>
          <w:color w:val="0070C0"/>
          <w:lang w:val="en-US"/>
        </w:rPr>
        <w:t>.</w:t>
      </w:r>
      <w:r w:rsidRPr="00105CC4">
        <w:rPr>
          <w:color w:val="0070C0"/>
          <w:u w:val="single"/>
          <w:lang w:val="en-US"/>
        </w:rPr>
        <w:t xml:space="preserve"> </w:t>
      </w:r>
      <w:hyperlink r:id="rId14" w:history="1">
        <w:r w:rsidRPr="00105CC4">
          <w:rPr>
            <w:rStyle w:val="Hyperlink"/>
            <w:lang w:val="en-US"/>
          </w:rPr>
          <w:t>www.who.int/neglected_diseases/en</w:t>
        </w:r>
      </w:hyperlink>
    </w:p>
    <w:p w:rsidR="00DC01EE" w:rsidRPr="00105CC4" w:rsidRDefault="00DC01EE" w:rsidP="00DC01EE">
      <w:pPr>
        <w:rPr>
          <w:rStyle w:val="Hyperlink"/>
        </w:rPr>
      </w:pPr>
      <w:r w:rsidRPr="00105CC4">
        <w:t xml:space="preserve">4. </w:t>
      </w:r>
      <w:hyperlink r:id="rId15" w:history="1">
        <w:r w:rsidRPr="00105CC4">
          <w:rPr>
            <w:rStyle w:val="Hyperlink"/>
          </w:rPr>
          <w:t>www.dndi.org</w:t>
        </w:r>
      </w:hyperlink>
    </w:p>
    <w:p w:rsidR="00DC01EE" w:rsidRPr="00105CC4" w:rsidRDefault="00DC01EE" w:rsidP="00DC01EE">
      <w:r w:rsidRPr="00105CC4">
        <w:rPr>
          <w:rStyle w:val="Hyperlink"/>
          <w:color w:val="auto"/>
          <w:u w:val="none"/>
        </w:rPr>
        <w:t>5.</w:t>
      </w:r>
      <w:r w:rsidRPr="00105CC4">
        <w:rPr>
          <w:rStyle w:val="Hyperlink"/>
        </w:rPr>
        <w:t xml:space="preserve"> www.UnitingTo CombatNTDs.org</w:t>
      </w:r>
    </w:p>
    <w:p w:rsidR="00DC01EE" w:rsidRPr="00105CC4" w:rsidRDefault="00DC01EE" w:rsidP="00DC01EE">
      <w:pPr>
        <w:rPr>
          <w:rStyle w:val="Hyperlink"/>
        </w:rPr>
      </w:pPr>
    </w:p>
    <w:p w:rsidR="00DC01EE" w:rsidRPr="00105CC4" w:rsidRDefault="00DC01EE" w:rsidP="00DC01EE">
      <w:pPr>
        <w:rPr>
          <w:color w:val="0070C0"/>
          <w:u w:val="single"/>
        </w:rPr>
      </w:pPr>
    </w:p>
    <w:p w:rsidR="00DC01EE" w:rsidRPr="00105CC4" w:rsidRDefault="00DC01EE" w:rsidP="00DC01EE">
      <w:pPr>
        <w:autoSpaceDE w:val="0"/>
        <w:autoSpaceDN w:val="0"/>
        <w:adjustRightInd w:val="0"/>
        <w:spacing w:after="0" w:line="240" w:lineRule="auto"/>
        <w:rPr>
          <w:rFonts w:cs="Arial"/>
        </w:rPr>
      </w:pPr>
    </w:p>
    <w:p w:rsidR="00656699" w:rsidRPr="00105CC4" w:rsidRDefault="00656699" w:rsidP="00656699">
      <w:pPr>
        <w:shd w:val="clear" w:color="auto" w:fill="FFFFFF"/>
        <w:spacing w:after="0" w:line="240" w:lineRule="auto"/>
        <w:rPr>
          <w:rFonts w:eastAsia="Times New Roman" w:cs="Arial"/>
          <w:lang w:eastAsia="nl-NL"/>
        </w:rPr>
      </w:pPr>
    </w:p>
    <w:p w:rsidR="00656699" w:rsidRPr="00105CC4" w:rsidRDefault="00656699" w:rsidP="00656699">
      <w:pPr>
        <w:shd w:val="clear" w:color="auto" w:fill="FFFFFF"/>
        <w:spacing w:before="240" w:after="120" w:line="240" w:lineRule="auto"/>
        <w:outlineLvl w:val="0"/>
        <w:rPr>
          <w:rFonts w:eastAsia="Times New Roman" w:cs="Arial"/>
          <w:bCs/>
          <w:kern w:val="36"/>
          <w:lang w:eastAsia="nl-NL"/>
        </w:rPr>
      </w:pPr>
    </w:p>
    <w:p w:rsidR="00923E53" w:rsidRPr="00DC01EE" w:rsidRDefault="00923E53" w:rsidP="00F01546">
      <w:r w:rsidRPr="00105CC4">
        <w:br w:type="page"/>
      </w:r>
    </w:p>
    <w:p w:rsidR="00241A48" w:rsidRPr="00DC01EE" w:rsidRDefault="00241A48"/>
    <w:p w:rsidR="00241A48" w:rsidRDefault="00241A48" w:rsidP="004A3BFA">
      <w:pPr>
        <w:rPr>
          <w:lang w:val="en-US"/>
        </w:rPr>
      </w:pPr>
      <w:r>
        <w:rPr>
          <w:lang w:val="en-US"/>
        </w:rPr>
        <w:t>Table</w:t>
      </w:r>
      <w:r w:rsidR="007A4715">
        <w:rPr>
          <w:lang w:val="en-US"/>
        </w:rPr>
        <w:t>. Neglected Tropical Diseases</w:t>
      </w:r>
    </w:p>
    <w:p w:rsidR="00241A48" w:rsidRDefault="00241A48" w:rsidP="007A4715">
      <w:pPr>
        <w:spacing w:after="0" w:line="240" w:lineRule="auto"/>
        <w:rPr>
          <w:lang w:val="en-US"/>
        </w:rPr>
      </w:pPr>
      <w:r>
        <w:rPr>
          <w:lang w:val="en-US"/>
        </w:rPr>
        <w:t>Fungal diseases</w:t>
      </w:r>
    </w:p>
    <w:p w:rsidR="00241A48" w:rsidRPr="009E6DEF" w:rsidRDefault="00241A48" w:rsidP="007A4715">
      <w:pPr>
        <w:spacing w:after="0" w:line="240" w:lineRule="auto"/>
      </w:pPr>
      <w:r>
        <w:rPr>
          <w:lang w:val="en-US"/>
        </w:rPr>
        <w:tab/>
      </w:r>
      <w:r w:rsidRPr="009E6DEF">
        <w:t>Mycetoma</w:t>
      </w:r>
    </w:p>
    <w:p w:rsidR="00241A48" w:rsidRPr="009E6DEF" w:rsidRDefault="00241A48" w:rsidP="007A4715">
      <w:pPr>
        <w:spacing w:after="0" w:line="240" w:lineRule="auto"/>
      </w:pPr>
      <w:r w:rsidRPr="009E6DEF">
        <w:tab/>
      </w:r>
      <w:proofErr w:type="spellStart"/>
      <w:r w:rsidRPr="009E6DEF">
        <w:t>Paracoccidioidomycosis</w:t>
      </w:r>
      <w:proofErr w:type="spellEnd"/>
    </w:p>
    <w:p w:rsidR="00241A48" w:rsidRPr="009E6DEF" w:rsidRDefault="00241A48" w:rsidP="007A4715">
      <w:pPr>
        <w:spacing w:after="0" w:line="240" w:lineRule="auto"/>
      </w:pPr>
      <w:r w:rsidRPr="009E6DEF">
        <w:t xml:space="preserve">Viral </w:t>
      </w:r>
      <w:proofErr w:type="spellStart"/>
      <w:r w:rsidRPr="009E6DEF">
        <w:t>diseases</w:t>
      </w:r>
      <w:proofErr w:type="spellEnd"/>
    </w:p>
    <w:p w:rsidR="00241A48" w:rsidRPr="009E6DEF" w:rsidRDefault="00241A48" w:rsidP="007A4715">
      <w:pPr>
        <w:spacing w:after="0" w:line="240" w:lineRule="auto"/>
      </w:pPr>
      <w:r w:rsidRPr="009E6DEF">
        <w:tab/>
        <w:t>Dengue</w:t>
      </w:r>
    </w:p>
    <w:p w:rsidR="00241A48" w:rsidRPr="009E6DEF" w:rsidRDefault="00241A48" w:rsidP="007A4715">
      <w:pPr>
        <w:spacing w:after="0" w:line="240" w:lineRule="auto"/>
        <w:ind w:firstLine="708"/>
      </w:pPr>
      <w:proofErr w:type="spellStart"/>
      <w:r w:rsidRPr="009E6DEF">
        <w:t>Japanes</w:t>
      </w:r>
      <w:r w:rsidR="007A4715" w:rsidRPr="009E6DEF">
        <w:t>e</w:t>
      </w:r>
      <w:proofErr w:type="spellEnd"/>
      <w:r w:rsidRPr="009E6DEF">
        <w:t xml:space="preserve"> </w:t>
      </w:r>
      <w:proofErr w:type="spellStart"/>
      <w:r w:rsidRPr="009E6DEF">
        <w:t>encephalitis</w:t>
      </w:r>
      <w:proofErr w:type="spellEnd"/>
    </w:p>
    <w:p w:rsidR="00241A48" w:rsidRDefault="00241A48" w:rsidP="007A4715">
      <w:pPr>
        <w:spacing w:after="0" w:line="240" w:lineRule="auto"/>
        <w:ind w:firstLine="708"/>
        <w:rPr>
          <w:lang w:val="en-US"/>
        </w:rPr>
      </w:pPr>
      <w:r>
        <w:rPr>
          <w:lang w:val="en-US"/>
        </w:rPr>
        <w:t>Yellow fever</w:t>
      </w:r>
    </w:p>
    <w:p w:rsidR="00241A48" w:rsidRDefault="00241A48" w:rsidP="007A4715">
      <w:pPr>
        <w:spacing w:after="0" w:line="240" w:lineRule="auto"/>
        <w:ind w:firstLine="708"/>
        <w:rPr>
          <w:lang w:val="en-US"/>
        </w:rPr>
      </w:pPr>
      <w:r>
        <w:rPr>
          <w:lang w:val="en-US"/>
        </w:rPr>
        <w:t>Rabies</w:t>
      </w:r>
    </w:p>
    <w:p w:rsidR="00241A48" w:rsidRDefault="00241A48" w:rsidP="007A4715">
      <w:pPr>
        <w:spacing w:after="0" w:line="240" w:lineRule="auto"/>
        <w:ind w:firstLine="708"/>
        <w:rPr>
          <w:lang w:val="en-US"/>
        </w:rPr>
      </w:pPr>
      <w:r>
        <w:rPr>
          <w:lang w:val="en-US"/>
        </w:rPr>
        <w:t>Rift Valley fever</w:t>
      </w:r>
    </w:p>
    <w:p w:rsidR="00241A48" w:rsidRDefault="00241A48" w:rsidP="007A4715">
      <w:pPr>
        <w:spacing w:after="0" w:line="240" w:lineRule="auto"/>
        <w:ind w:firstLine="708"/>
        <w:rPr>
          <w:lang w:val="en-US"/>
        </w:rPr>
      </w:pPr>
      <w:r>
        <w:rPr>
          <w:lang w:val="en-US"/>
        </w:rPr>
        <w:t xml:space="preserve">Viral </w:t>
      </w:r>
      <w:proofErr w:type="spellStart"/>
      <w:r>
        <w:rPr>
          <w:lang w:val="en-US"/>
        </w:rPr>
        <w:t>haemorrhagic</w:t>
      </w:r>
      <w:proofErr w:type="spellEnd"/>
      <w:r>
        <w:rPr>
          <w:lang w:val="en-US"/>
        </w:rPr>
        <w:t xml:space="preserve"> fevers</w:t>
      </w:r>
    </w:p>
    <w:p w:rsidR="00241A48" w:rsidRDefault="007A4715" w:rsidP="007A4715">
      <w:pPr>
        <w:spacing w:after="0" w:line="240" w:lineRule="auto"/>
        <w:rPr>
          <w:lang w:val="en-US"/>
        </w:rPr>
      </w:pPr>
      <w:r>
        <w:rPr>
          <w:lang w:val="en-US"/>
        </w:rPr>
        <w:t>Bac</w:t>
      </w:r>
      <w:r w:rsidR="00241A48">
        <w:rPr>
          <w:lang w:val="en-US"/>
        </w:rPr>
        <w:t>terial</w:t>
      </w:r>
      <w:r>
        <w:rPr>
          <w:lang w:val="en-US"/>
        </w:rPr>
        <w:t xml:space="preserve"> infections</w:t>
      </w:r>
    </w:p>
    <w:p w:rsidR="007A4715" w:rsidRDefault="007A4715" w:rsidP="007A4715">
      <w:pPr>
        <w:spacing w:after="0" w:line="240" w:lineRule="auto"/>
        <w:rPr>
          <w:lang w:val="en-US"/>
        </w:rPr>
      </w:pPr>
      <w:r>
        <w:rPr>
          <w:lang w:val="en-US"/>
        </w:rPr>
        <w:tab/>
      </w:r>
      <w:proofErr w:type="spellStart"/>
      <w:r>
        <w:rPr>
          <w:lang w:val="en-US"/>
        </w:rPr>
        <w:t>Bartonellosis</w:t>
      </w:r>
      <w:proofErr w:type="spellEnd"/>
    </w:p>
    <w:p w:rsidR="007A4715" w:rsidRDefault="007A4715" w:rsidP="007A4715">
      <w:pPr>
        <w:spacing w:after="0" w:line="240" w:lineRule="auto"/>
        <w:ind w:firstLine="708"/>
        <w:rPr>
          <w:lang w:val="en-US"/>
        </w:rPr>
      </w:pPr>
      <w:r>
        <w:rPr>
          <w:lang w:val="en-US"/>
        </w:rPr>
        <w:t>Bovine tuberculosis in humans</w:t>
      </w:r>
    </w:p>
    <w:p w:rsidR="007A4715" w:rsidRDefault="007A4715" w:rsidP="007A4715">
      <w:pPr>
        <w:spacing w:after="0" w:line="240" w:lineRule="auto"/>
        <w:ind w:firstLine="708"/>
        <w:rPr>
          <w:lang w:val="en-US"/>
        </w:rPr>
      </w:pPr>
      <w:proofErr w:type="spellStart"/>
      <w:r>
        <w:rPr>
          <w:lang w:val="en-US"/>
        </w:rPr>
        <w:t>Buruli</w:t>
      </w:r>
      <w:proofErr w:type="spellEnd"/>
      <w:r>
        <w:rPr>
          <w:lang w:val="en-US"/>
        </w:rPr>
        <w:t xml:space="preserve"> ulcer</w:t>
      </w:r>
    </w:p>
    <w:p w:rsidR="007A4715" w:rsidRDefault="007A4715" w:rsidP="007A4715">
      <w:pPr>
        <w:spacing w:after="0" w:line="240" w:lineRule="auto"/>
        <w:ind w:firstLine="708"/>
        <w:rPr>
          <w:lang w:val="en-US"/>
        </w:rPr>
      </w:pPr>
      <w:r>
        <w:rPr>
          <w:lang w:val="en-US"/>
        </w:rPr>
        <w:t>Enteric bacterial infections: cholera, ETEC, shigellosis, salmonellosis</w:t>
      </w:r>
    </w:p>
    <w:p w:rsidR="007A4715" w:rsidRDefault="007A4715" w:rsidP="007A4715">
      <w:pPr>
        <w:spacing w:after="0" w:line="240" w:lineRule="auto"/>
        <w:ind w:firstLine="708"/>
        <w:rPr>
          <w:lang w:val="en-US"/>
        </w:rPr>
      </w:pPr>
      <w:r>
        <w:rPr>
          <w:lang w:val="en-US"/>
        </w:rPr>
        <w:t>Leprosy</w:t>
      </w:r>
    </w:p>
    <w:p w:rsidR="007A4715" w:rsidRDefault="007A4715" w:rsidP="007A4715">
      <w:pPr>
        <w:spacing w:after="0" w:line="240" w:lineRule="auto"/>
        <w:ind w:firstLine="708"/>
        <w:rPr>
          <w:lang w:val="en-US"/>
        </w:rPr>
      </w:pPr>
      <w:r>
        <w:rPr>
          <w:lang w:val="en-US"/>
        </w:rPr>
        <w:t>Leptospirosis</w:t>
      </w:r>
    </w:p>
    <w:p w:rsidR="007A4715" w:rsidRDefault="007A4715" w:rsidP="007A4715">
      <w:pPr>
        <w:spacing w:after="0" w:line="240" w:lineRule="auto"/>
        <w:ind w:firstLine="708"/>
        <w:rPr>
          <w:lang w:val="en-US"/>
        </w:rPr>
      </w:pPr>
      <w:r>
        <w:rPr>
          <w:lang w:val="en-US"/>
        </w:rPr>
        <w:t>Relapsing fever</w:t>
      </w:r>
    </w:p>
    <w:p w:rsidR="007A4715" w:rsidRDefault="007A4715" w:rsidP="007A4715">
      <w:pPr>
        <w:spacing w:after="0" w:line="240" w:lineRule="auto"/>
        <w:ind w:firstLine="708"/>
        <w:rPr>
          <w:lang w:val="en-US"/>
        </w:rPr>
      </w:pPr>
      <w:r>
        <w:rPr>
          <w:lang w:val="en-US"/>
        </w:rPr>
        <w:t>Trachoma</w:t>
      </w:r>
    </w:p>
    <w:p w:rsidR="007A4715" w:rsidRDefault="007A4715" w:rsidP="007A4715">
      <w:pPr>
        <w:spacing w:after="0" w:line="240" w:lineRule="auto"/>
        <w:ind w:firstLine="708"/>
        <w:rPr>
          <w:lang w:val="en-US"/>
        </w:rPr>
      </w:pPr>
      <w:proofErr w:type="spellStart"/>
      <w:r>
        <w:rPr>
          <w:lang w:val="en-US"/>
        </w:rPr>
        <w:t>Treponematosis</w:t>
      </w:r>
      <w:proofErr w:type="spellEnd"/>
      <w:r>
        <w:rPr>
          <w:lang w:val="en-US"/>
        </w:rPr>
        <w:t xml:space="preserve"> </w:t>
      </w:r>
    </w:p>
    <w:p w:rsidR="00241A48" w:rsidRDefault="00241A48" w:rsidP="007A4715">
      <w:pPr>
        <w:spacing w:after="0" w:line="240" w:lineRule="auto"/>
        <w:rPr>
          <w:lang w:val="en-US"/>
        </w:rPr>
      </w:pPr>
      <w:r>
        <w:rPr>
          <w:lang w:val="en-US"/>
        </w:rPr>
        <w:t>Ectoparasitic infections</w:t>
      </w:r>
    </w:p>
    <w:p w:rsidR="00241A48" w:rsidRDefault="00241A48" w:rsidP="007A4715">
      <w:pPr>
        <w:spacing w:after="0" w:line="240" w:lineRule="auto"/>
        <w:rPr>
          <w:lang w:val="en-US"/>
        </w:rPr>
      </w:pPr>
      <w:r>
        <w:rPr>
          <w:lang w:val="en-US"/>
        </w:rPr>
        <w:tab/>
        <w:t>Myiasis</w:t>
      </w:r>
    </w:p>
    <w:p w:rsidR="00241A48" w:rsidRDefault="00241A48" w:rsidP="007A4715">
      <w:pPr>
        <w:spacing w:after="0" w:line="240" w:lineRule="auto"/>
        <w:ind w:firstLine="708"/>
        <w:rPr>
          <w:lang w:val="en-US"/>
        </w:rPr>
      </w:pPr>
      <w:r>
        <w:rPr>
          <w:lang w:val="en-US"/>
        </w:rPr>
        <w:t>Scabies</w:t>
      </w:r>
    </w:p>
    <w:p w:rsidR="00241A48" w:rsidRDefault="00241A48" w:rsidP="007A4715">
      <w:pPr>
        <w:spacing w:after="0" w:line="240" w:lineRule="auto"/>
        <w:rPr>
          <w:lang w:val="en-US"/>
        </w:rPr>
      </w:pPr>
      <w:r>
        <w:rPr>
          <w:lang w:val="en-US"/>
        </w:rPr>
        <w:t>Helminthic infections</w:t>
      </w:r>
    </w:p>
    <w:p w:rsidR="00241A48" w:rsidRDefault="00241A48" w:rsidP="007A4715">
      <w:pPr>
        <w:spacing w:after="0" w:line="240" w:lineRule="auto"/>
        <w:ind w:firstLine="708"/>
        <w:rPr>
          <w:lang w:val="en-US"/>
        </w:rPr>
      </w:pPr>
      <w:r>
        <w:rPr>
          <w:lang w:val="en-US"/>
        </w:rPr>
        <w:t>Cysticercosis</w:t>
      </w:r>
    </w:p>
    <w:p w:rsidR="00241A48" w:rsidRDefault="00241A48" w:rsidP="007A4715">
      <w:pPr>
        <w:spacing w:after="0" w:line="240" w:lineRule="auto"/>
        <w:ind w:firstLine="708"/>
        <w:rPr>
          <w:lang w:val="en-US"/>
        </w:rPr>
      </w:pPr>
      <w:r>
        <w:rPr>
          <w:lang w:val="en-US"/>
        </w:rPr>
        <w:t>Dracunculiasis</w:t>
      </w:r>
    </w:p>
    <w:p w:rsidR="00241A48" w:rsidRDefault="00241A48" w:rsidP="007A4715">
      <w:pPr>
        <w:spacing w:after="0" w:line="240" w:lineRule="auto"/>
        <w:ind w:firstLine="708"/>
        <w:rPr>
          <w:lang w:val="en-US"/>
        </w:rPr>
      </w:pPr>
      <w:r>
        <w:rPr>
          <w:lang w:val="en-US"/>
        </w:rPr>
        <w:t>Echinococcosis</w:t>
      </w:r>
    </w:p>
    <w:p w:rsidR="00241A48" w:rsidRDefault="00241A48" w:rsidP="007A4715">
      <w:pPr>
        <w:spacing w:after="0" w:line="240" w:lineRule="auto"/>
        <w:ind w:firstLine="708"/>
        <w:rPr>
          <w:lang w:val="en-US"/>
        </w:rPr>
      </w:pPr>
      <w:proofErr w:type="spellStart"/>
      <w:r>
        <w:rPr>
          <w:lang w:val="en-US"/>
        </w:rPr>
        <w:t>Enterobiasis</w:t>
      </w:r>
      <w:proofErr w:type="spellEnd"/>
    </w:p>
    <w:p w:rsidR="00241A48" w:rsidRDefault="00241A48" w:rsidP="007A4715">
      <w:pPr>
        <w:spacing w:after="0" w:line="240" w:lineRule="auto"/>
        <w:ind w:left="708"/>
        <w:rPr>
          <w:lang w:val="en-US"/>
        </w:rPr>
      </w:pPr>
      <w:r>
        <w:rPr>
          <w:lang w:val="en-US"/>
        </w:rPr>
        <w:t xml:space="preserve">Food-borne </w:t>
      </w:r>
      <w:proofErr w:type="spellStart"/>
      <w:r>
        <w:rPr>
          <w:lang w:val="en-US"/>
        </w:rPr>
        <w:t>trematodiasis</w:t>
      </w:r>
      <w:proofErr w:type="spellEnd"/>
      <w:r w:rsidR="007A4715">
        <w:rPr>
          <w:lang w:val="en-US"/>
        </w:rPr>
        <w:t xml:space="preserve">: </w:t>
      </w:r>
      <w:proofErr w:type="spellStart"/>
      <w:r>
        <w:rPr>
          <w:lang w:val="en-US"/>
        </w:rPr>
        <w:t>Clonorchiasis</w:t>
      </w:r>
      <w:proofErr w:type="spellEnd"/>
      <w:r w:rsidR="007A4715">
        <w:rPr>
          <w:lang w:val="en-US"/>
        </w:rPr>
        <w:t xml:space="preserve">, </w:t>
      </w:r>
      <w:r w:rsidR="00B9542E">
        <w:rPr>
          <w:lang w:val="en-US"/>
        </w:rPr>
        <w:t>F</w:t>
      </w:r>
      <w:r>
        <w:rPr>
          <w:lang w:val="en-US"/>
        </w:rPr>
        <w:t>ascioliasis</w:t>
      </w:r>
      <w:r w:rsidR="007A4715">
        <w:rPr>
          <w:lang w:val="en-US"/>
        </w:rPr>
        <w:t>, i</w:t>
      </w:r>
      <w:r>
        <w:rPr>
          <w:lang w:val="en-US"/>
        </w:rPr>
        <w:t xml:space="preserve">ntestinal </w:t>
      </w:r>
      <w:proofErr w:type="gramStart"/>
      <w:r>
        <w:rPr>
          <w:lang w:val="en-US"/>
        </w:rPr>
        <w:t>flukes</w:t>
      </w:r>
      <w:proofErr w:type="gramEnd"/>
      <w:r>
        <w:rPr>
          <w:lang w:val="en-US"/>
        </w:rPr>
        <w:t xml:space="preserve"> infections</w:t>
      </w:r>
      <w:r w:rsidR="007A4715">
        <w:rPr>
          <w:lang w:val="en-US"/>
        </w:rPr>
        <w:t xml:space="preserve">, </w:t>
      </w:r>
      <w:proofErr w:type="spellStart"/>
      <w:r w:rsidR="00B9542E">
        <w:rPr>
          <w:lang w:val="en-US"/>
        </w:rPr>
        <w:t>O</w:t>
      </w:r>
      <w:r>
        <w:rPr>
          <w:lang w:val="en-US"/>
        </w:rPr>
        <w:t>pisthorchiasis</w:t>
      </w:r>
      <w:proofErr w:type="spellEnd"/>
      <w:r w:rsidR="007A4715">
        <w:rPr>
          <w:lang w:val="en-US"/>
        </w:rPr>
        <w:t xml:space="preserve">, </w:t>
      </w:r>
      <w:r w:rsidR="00B9542E">
        <w:rPr>
          <w:lang w:val="en-US"/>
        </w:rPr>
        <w:t>P</w:t>
      </w:r>
      <w:r>
        <w:rPr>
          <w:lang w:val="en-US"/>
        </w:rPr>
        <w:t>aragonimiasis</w:t>
      </w:r>
    </w:p>
    <w:p w:rsidR="00241A48" w:rsidRDefault="00241A48" w:rsidP="007A4715">
      <w:pPr>
        <w:spacing w:after="0" w:line="240" w:lineRule="auto"/>
        <w:ind w:firstLine="708"/>
        <w:rPr>
          <w:lang w:val="en-US"/>
        </w:rPr>
      </w:pPr>
      <w:proofErr w:type="spellStart"/>
      <w:r>
        <w:rPr>
          <w:lang w:val="en-US"/>
        </w:rPr>
        <w:t>Lo</w:t>
      </w:r>
      <w:r w:rsidR="00AC4027">
        <w:rPr>
          <w:lang w:val="en-US"/>
        </w:rPr>
        <w:t>i</w:t>
      </w:r>
      <w:r>
        <w:rPr>
          <w:lang w:val="en-US"/>
        </w:rPr>
        <w:t>asis</w:t>
      </w:r>
      <w:proofErr w:type="spellEnd"/>
    </w:p>
    <w:p w:rsidR="00241A48" w:rsidRDefault="00241A48" w:rsidP="007A4715">
      <w:pPr>
        <w:spacing w:after="0" w:line="240" w:lineRule="auto"/>
        <w:ind w:firstLine="708"/>
        <w:rPr>
          <w:lang w:val="en-US"/>
        </w:rPr>
      </w:pPr>
      <w:r>
        <w:rPr>
          <w:lang w:val="en-US"/>
        </w:rPr>
        <w:t>Lymphatic filariasis</w:t>
      </w:r>
    </w:p>
    <w:p w:rsidR="00241A48" w:rsidRDefault="00241A48" w:rsidP="007A4715">
      <w:pPr>
        <w:spacing w:after="0" w:line="240" w:lineRule="auto"/>
        <w:ind w:firstLine="708"/>
        <w:rPr>
          <w:lang w:val="en-US"/>
        </w:rPr>
      </w:pPr>
      <w:proofErr w:type="spellStart"/>
      <w:r>
        <w:rPr>
          <w:lang w:val="en-US"/>
        </w:rPr>
        <w:t>Mansonellosis</w:t>
      </w:r>
      <w:proofErr w:type="spellEnd"/>
    </w:p>
    <w:p w:rsidR="00241A48" w:rsidRDefault="00241A48" w:rsidP="007A4715">
      <w:pPr>
        <w:spacing w:after="0" w:line="240" w:lineRule="auto"/>
        <w:ind w:firstLine="708"/>
        <w:rPr>
          <w:lang w:val="en-US"/>
        </w:rPr>
      </w:pPr>
      <w:r>
        <w:rPr>
          <w:lang w:val="en-US"/>
        </w:rPr>
        <w:t>Onchocerciasis</w:t>
      </w:r>
    </w:p>
    <w:p w:rsidR="00241A48" w:rsidRDefault="00241A48" w:rsidP="007A4715">
      <w:pPr>
        <w:spacing w:after="0" w:line="240" w:lineRule="auto"/>
        <w:ind w:firstLine="708"/>
        <w:rPr>
          <w:lang w:val="en-US"/>
        </w:rPr>
      </w:pPr>
      <w:r>
        <w:rPr>
          <w:lang w:val="en-US"/>
        </w:rPr>
        <w:t>Schistosomiasis</w:t>
      </w:r>
    </w:p>
    <w:p w:rsidR="00241A48" w:rsidRDefault="00241A48" w:rsidP="007A4715">
      <w:pPr>
        <w:spacing w:after="0" w:line="240" w:lineRule="auto"/>
        <w:rPr>
          <w:lang w:val="en-US"/>
        </w:rPr>
      </w:pPr>
      <w:r>
        <w:rPr>
          <w:lang w:val="en-US"/>
        </w:rPr>
        <w:t xml:space="preserve">Soil-transmitted </w:t>
      </w:r>
      <w:proofErr w:type="spellStart"/>
      <w:r>
        <w:rPr>
          <w:lang w:val="en-US"/>
        </w:rPr>
        <w:t>helminthiaisis</w:t>
      </w:r>
      <w:proofErr w:type="spellEnd"/>
    </w:p>
    <w:p w:rsidR="00241A48" w:rsidRDefault="00241A48" w:rsidP="007A4715">
      <w:pPr>
        <w:spacing w:after="0" w:line="240" w:lineRule="auto"/>
        <w:ind w:firstLine="708"/>
        <w:rPr>
          <w:lang w:val="en-US"/>
        </w:rPr>
      </w:pPr>
      <w:r>
        <w:rPr>
          <w:lang w:val="en-US"/>
        </w:rPr>
        <w:t>Ascariasis</w:t>
      </w:r>
      <w:r w:rsidR="007A4715">
        <w:rPr>
          <w:lang w:val="en-US"/>
        </w:rPr>
        <w:t>, h</w:t>
      </w:r>
      <w:r>
        <w:rPr>
          <w:lang w:val="en-US"/>
        </w:rPr>
        <w:t>ookworm infection</w:t>
      </w:r>
      <w:r w:rsidR="007A4715">
        <w:rPr>
          <w:lang w:val="en-US"/>
        </w:rPr>
        <w:t xml:space="preserve">, </w:t>
      </w:r>
      <w:proofErr w:type="spellStart"/>
      <w:proofErr w:type="gramStart"/>
      <w:r w:rsidR="00AC4027">
        <w:rPr>
          <w:lang w:val="en-US"/>
        </w:rPr>
        <w:t>S</w:t>
      </w:r>
      <w:r>
        <w:rPr>
          <w:lang w:val="en-US"/>
        </w:rPr>
        <w:t>trongyloides</w:t>
      </w:r>
      <w:r w:rsidR="007A4715">
        <w:rPr>
          <w:lang w:val="en-US"/>
        </w:rPr>
        <w:t>,</w:t>
      </w:r>
      <w:r w:rsidR="00AC4027">
        <w:rPr>
          <w:lang w:val="en-US"/>
        </w:rPr>
        <w:t>T</w:t>
      </w:r>
      <w:r>
        <w:rPr>
          <w:lang w:val="en-US"/>
        </w:rPr>
        <w:t>richuriasis</w:t>
      </w:r>
      <w:proofErr w:type="spellEnd"/>
      <w:proofErr w:type="gramEnd"/>
    </w:p>
    <w:p w:rsidR="00241A48" w:rsidRDefault="00241A48" w:rsidP="007A4715">
      <w:pPr>
        <w:spacing w:after="0" w:line="240" w:lineRule="auto"/>
        <w:ind w:firstLine="708"/>
        <w:rPr>
          <w:lang w:val="en-US"/>
        </w:rPr>
      </w:pPr>
      <w:r>
        <w:rPr>
          <w:lang w:val="en-US"/>
        </w:rPr>
        <w:t>Toxocariasis</w:t>
      </w:r>
    </w:p>
    <w:p w:rsidR="00241A48" w:rsidRDefault="007A4715" w:rsidP="007A4715">
      <w:pPr>
        <w:spacing w:after="0" w:line="240" w:lineRule="auto"/>
        <w:rPr>
          <w:lang w:val="en-US"/>
        </w:rPr>
      </w:pPr>
      <w:r>
        <w:rPr>
          <w:lang w:val="en-US"/>
        </w:rPr>
        <w:t>Protozoal in</w:t>
      </w:r>
      <w:r w:rsidR="00241A48">
        <w:rPr>
          <w:lang w:val="en-US"/>
        </w:rPr>
        <w:t>fections</w:t>
      </w:r>
    </w:p>
    <w:p w:rsidR="00DE2113" w:rsidRDefault="00DE2113" w:rsidP="007A4715">
      <w:pPr>
        <w:spacing w:after="0" w:line="240" w:lineRule="auto"/>
        <w:ind w:firstLine="708"/>
        <w:rPr>
          <w:lang w:val="en-US"/>
        </w:rPr>
      </w:pPr>
      <w:r>
        <w:rPr>
          <w:lang w:val="en-US"/>
        </w:rPr>
        <w:t>Chagas’</w:t>
      </w:r>
      <w:r w:rsidR="007A4715">
        <w:rPr>
          <w:lang w:val="en-US"/>
        </w:rPr>
        <w:t xml:space="preserve"> </w:t>
      </w:r>
      <w:r>
        <w:rPr>
          <w:lang w:val="en-US"/>
        </w:rPr>
        <w:t>disease</w:t>
      </w:r>
    </w:p>
    <w:p w:rsidR="00DE2113" w:rsidRDefault="00DE2113" w:rsidP="007A4715">
      <w:pPr>
        <w:spacing w:after="0" w:line="240" w:lineRule="auto"/>
        <w:ind w:firstLine="708"/>
        <w:rPr>
          <w:lang w:val="en-US"/>
        </w:rPr>
      </w:pPr>
      <w:r>
        <w:rPr>
          <w:lang w:val="en-US"/>
        </w:rPr>
        <w:t>Human African Trypanosomiasis (HAT)</w:t>
      </w:r>
    </w:p>
    <w:p w:rsidR="00DE2113" w:rsidRDefault="00DE2113" w:rsidP="007A4715">
      <w:pPr>
        <w:spacing w:after="0" w:line="240" w:lineRule="auto"/>
        <w:ind w:firstLine="708"/>
        <w:rPr>
          <w:lang w:val="en-US"/>
        </w:rPr>
      </w:pPr>
      <w:r>
        <w:rPr>
          <w:lang w:val="en-US"/>
        </w:rPr>
        <w:t>Intestinal protozoan infections</w:t>
      </w:r>
      <w:r w:rsidR="007A4715">
        <w:rPr>
          <w:lang w:val="en-US"/>
        </w:rPr>
        <w:t xml:space="preserve">: </w:t>
      </w:r>
      <w:r w:rsidR="00AC4027">
        <w:rPr>
          <w:lang w:val="en-US"/>
        </w:rPr>
        <w:t>A</w:t>
      </w:r>
      <w:r>
        <w:rPr>
          <w:lang w:val="en-US"/>
        </w:rPr>
        <w:t>moebiasis</w:t>
      </w:r>
      <w:r w:rsidR="00AC4027">
        <w:rPr>
          <w:lang w:val="en-US"/>
        </w:rPr>
        <w:t xml:space="preserve">, </w:t>
      </w:r>
      <w:proofErr w:type="spellStart"/>
      <w:r w:rsidR="00AC4027">
        <w:rPr>
          <w:lang w:val="en-US"/>
        </w:rPr>
        <w:t>B</w:t>
      </w:r>
      <w:r>
        <w:rPr>
          <w:lang w:val="en-US"/>
        </w:rPr>
        <w:t>alantidiasis</w:t>
      </w:r>
      <w:proofErr w:type="spellEnd"/>
      <w:r w:rsidR="007A4715">
        <w:rPr>
          <w:lang w:val="en-US"/>
        </w:rPr>
        <w:t>,</w:t>
      </w:r>
      <w:r w:rsidR="00AC4027">
        <w:rPr>
          <w:lang w:val="en-US"/>
        </w:rPr>
        <w:t xml:space="preserve"> G</w:t>
      </w:r>
      <w:r>
        <w:rPr>
          <w:lang w:val="en-US"/>
        </w:rPr>
        <w:t>iardiasis</w:t>
      </w:r>
    </w:p>
    <w:p w:rsidR="00DE2113" w:rsidRDefault="00DE2113" w:rsidP="007A4715">
      <w:pPr>
        <w:spacing w:after="0" w:line="240" w:lineRule="auto"/>
        <w:ind w:firstLine="708"/>
        <w:rPr>
          <w:lang w:val="en-US"/>
        </w:rPr>
      </w:pPr>
      <w:r>
        <w:rPr>
          <w:lang w:val="en-US"/>
        </w:rPr>
        <w:t>Leishmaniasis</w:t>
      </w:r>
    </w:p>
    <w:p w:rsidR="004A3BFA" w:rsidRPr="004A3BFA" w:rsidRDefault="00241A48" w:rsidP="007A4715">
      <w:pPr>
        <w:spacing w:after="0" w:line="240" w:lineRule="auto"/>
        <w:rPr>
          <w:lang w:val="en-US"/>
        </w:rPr>
      </w:pPr>
      <w:r>
        <w:rPr>
          <w:lang w:val="en-US"/>
        </w:rPr>
        <w:t xml:space="preserve"> </w:t>
      </w:r>
    </w:p>
    <w:sectPr w:rsidR="004A3BFA" w:rsidRPr="004A3BFA" w:rsidSect="00DC5E6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A42" w:rsidRDefault="00DC2A42" w:rsidP="00105CC4">
      <w:pPr>
        <w:spacing w:after="0" w:line="240" w:lineRule="auto"/>
      </w:pPr>
      <w:r>
        <w:separator/>
      </w:r>
    </w:p>
  </w:endnote>
  <w:endnote w:type="continuationSeparator" w:id="0">
    <w:p w:rsidR="00DC2A42" w:rsidRDefault="00DC2A42" w:rsidP="0010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011502"/>
      <w:docPartObj>
        <w:docPartGallery w:val="Page Numbers (Bottom of Page)"/>
        <w:docPartUnique/>
      </w:docPartObj>
    </w:sdtPr>
    <w:sdtEndPr>
      <w:rPr>
        <w:noProof/>
      </w:rPr>
    </w:sdtEndPr>
    <w:sdtContent>
      <w:p w:rsidR="00105CC4" w:rsidRDefault="00105C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05CC4" w:rsidRDefault="0010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A42" w:rsidRDefault="00DC2A42" w:rsidP="00105CC4">
      <w:pPr>
        <w:spacing w:after="0" w:line="240" w:lineRule="auto"/>
      </w:pPr>
      <w:r>
        <w:separator/>
      </w:r>
    </w:p>
  </w:footnote>
  <w:footnote w:type="continuationSeparator" w:id="0">
    <w:p w:rsidR="00DC2A42" w:rsidRDefault="00DC2A42" w:rsidP="00105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25DA0"/>
    <w:multiLevelType w:val="hybridMultilevel"/>
    <w:tmpl w:val="3F701306"/>
    <w:lvl w:ilvl="0" w:tplc="0F2A10FA">
      <w:start w:val="1"/>
      <w:numFmt w:val="bullet"/>
      <w:lvlText w:val=""/>
      <w:lvlJc w:val="left"/>
      <w:pPr>
        <w:tabs>
          <w:tab w:val="num" w:pos="720"/>
        </w:tabs>
        <w:ind w:left="720" w:hanging="360"/>
      </w:pPr>
      <w:rPr>
        <w:rFonts w:ascii="Wingdings" w:hAnsi="Wingdings" w:hint="default"/>
      </w:rPr>
    </w:lvl>
    <w:lvl w:ilvl="1" w:tplc="AB58E4C8" w:tentative="1">
      <w:start w:val="1"/>
      <w:numFmt w:val="bullet"/>
      <w:lvlText w:val=""/>
      <w:lvlJc w:val="left"/>
      <w:pPr>
        <w:tabs>
          <w:tab w:val="num" w:pos="1440"/>
        </w:tabs>
        <w:ind w:left="1440" w:hanging="360"/>
      </w:pPr>
      <w:rPr>
        <w:rFonts w:ascii="Wingdings" w:hAnsi="Wingdings" w:hint="default"/>
      </w:rPr>
    </w:lvl>
    <w:lvl w:ilvl="2" w:tplc="606465E2" w:tentative="1">
      <w:start w:val="1"/>
      <w:numFmt w:val="bullet"/>
      <w:lvlText w:val=""/>
      <w:lvlJc w:val="left"/>
      <w:pPr>
        <w:tabs>
          <w:tab w:val="num" w:pos="2160"/>
        </w:tabs>
        <w:ind w:left="2160" w:hanging="360"/>
      </w:pPr>
      <w:rPr>
        <w:rFonts w:ascii="Wingdings" w:hAnsi="Wingdings" w:hint="default"/>
      </w:rPr>
    </w:lvl>
    <w:lvl w:ilvl="3" w:tplc="164474B4" w:tentative="1">
      <w:start w:val="1"/>
      <w:numFmt w:val="bullet"/>
      <w:lvlText w:val=""/>
      <w:lvlJc w:val="left"/>
      <w:pPr>
        <w:tabs>
          <w:tab w:val="num" w:pos="2880"/>
        </w:tabs>
        <w:ind w:left="2880" w:hanging="360"/>
      </w:pPr>
      <w:rPr>
        <w:rFonts w:ascii="Wingdings" w:hAnsi="Wingdings" w:hint="default"/>
      </w:rPr>
    </w:lvl>
    <w:lvl w:ilvl="4" w:tplc="C2F0F092" w:tentative="1">
      <w:start w:val="1"/>
      <w:numFmt w:val="bullet"/>
      <w:lvlText w:val=""/>
      <w:lvlJc w:val="left"/>
      <w:pPr>
        <w:tabs>
          <w:tab w:val="num" w:pos="3600"/>
        </w:tabs>
        <w:ind w:left="3600" w:hanging="360"/>
      </w:pPr>
      <w:rPr>
        <w:rFonts w:ascii="Wingdings" w:hAnsi="Wingdings" w:hint="default"/>
      </w:rPr>
    </w:lvl>
    <w:lvl w:ilvl="5" w:tplc="BB729388" w:tentative="1">
      <w:start w:val="1"/>
      <w:numFmt w:val="bullet"/>
      <w:lvlText w:val=""/>
      <w:lvlJc w:val="left"/>
      <w:pPr>
        <w:tabs>
          <w:tab w:val="num" w:pos="4320"/>
        </w:tabs>
        <w:ind w:left="4320" w:hanging="360"/>
      </w:pPr>
      <w:rPr>
        <w:rFonts w:ascii="Wingdings" w:hAnsi="Wingdings" w:hint="default"/>
      </w:rPr>
    </w:lvl>
    <w:lvl w:ilvl="6" w:tplc="65969F38" w:tentative="1">
      <w:start w:val="1"/>
      <w:numFmt w:val="bullet"/>
      <w:lvlText w:val=""/>
      <w:lvlJc w:val="left"/>
      <w:pPr>
        <w:tabs>
          <w:tab w:val="num" w:pos="5040"/>
        </w:tabs>
        <w:ind w:left="5040" w:hanging="360"/>
      </w:pPr>
      <w:rPr>
        <w:rFonts w:ascii="Wingdings" w:hAnsi="Wingdings" w:hint="default"/>
      </w:rPr>
    </w:lvl>
    <w:lvl w:ilvl="7" w:tplc="D5D4CF78" w:tentative="1">
      <w:start w:val="1"/>
      <w:numFmt w:val="bullet"/>
      <w:lvlText w:val=""/>
      <w:lvlJc w:val="left"/>
      <w:pPr>
        <w:tabs>
          <w:tab w:val="num" w:pos="5760"/>
        </w:tabs>
        <w:ind w:left="5760" w:hanging="360"/>
      </w:pPr>
      <w:rPr>
        <w:rFonts w:ascii="Wingdings" w:hAnsi="Wingdings" w:hint="default"/>
      </w:rPr>
    </w:lvl>
    <w:lvl w:ilvl="8" w:tplc="B3CAF6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323D3E"/>
    <w:multiLevelType w:val="hybridMultilevel"/>
    <w:tmpl w:val="6ED0BE5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79E47090"/>
    <w:multiLevelType w:val="hybridMultilevel"/>
    <w:tmpl w:val="2ABE1D98"/>
    <w:lvl w:ilvl="0" w:tplc="999CA3B8">
      <w:start w:val="1"/>
      <w:numFmt w:val="bullet"/>
      <w:lvlText w:val=""/>
      <w:lvlJc w:val="left"/>
      <w:pPr>
        <w:tabs>
          <w:tab w:val="num" w:pos="720"/>
        </w:tabs>
        <w:ind w:left="720" w:hanging="360"/>
      </w:pPr>
      <w:rPr>
        <w:rFonts w:ascii="Wingdings" w:hAnsi="Wingdings" w:hint="default"/>
      </w:rPr>
    </w:lvl>
    <w:lvl w:ilvl="1" w:tplc="3DDECB28" w:tentative="1">
      <w:start w:val="1"/>
      <w:numFmt w:val="bullet"/>
      <w:lvlText w:val=""/>
      <w:lvlJc w:val="left"/>
      <w:pPr>
        <w:tabs>
          <w:tab w:val="num" w:pos="1440"/>
        </w:tabs>
        <w:ind w:left="1440" w:hanging="360"/>
      </w:pPr>
      <w:rPr>
        <w:rFonts w:ascii="Wingdings" w:hAnsi="Wingdings" w:hint="default"/>
      </w:rPr>
    </w:lvl>
    <w:lvl w:ilvl="2" w:tplc="6F547898" w:tentative="1">
      <w:start w:val="1"/>
      <w:numFmt w:val="bullet"/>
      <w:lvlText w:val=""/>
      <w:lvlJc w:val="left"/>
      <w:pPr>
        <w:tabs>
          <w:tab w:val="num" w:pos="2160"/>
        </w:tabs>
        <w:ind w:left="2160" w:hanging="360"/>
      </w:pPr>
      <w:rPr>
        <w:rFonts w:ascii="Wingdings" w:hAnsi="Wingdings" w:hint="default"/>
      </w:rPr>
    </w:lvl>
    <w:lvl w:ilvl="3" w:tplc="D2E05406" w:tentative="1">
      <w:start w:val="1"/>
      <w:numFmt w:val="bullet"/>
      <w:lvlText w:val=""/>
      <w:lvlJc w:val="left"/>
      <w:pPr>
        <w:tabs>
          <w:tab w:val="num" w:pos="2880"/>
        </w:tabs>
        <w:ind w:left="2880" w:hanging="360"/>
      </w:pPr>
      <w:rPr>
        <w:rFonts w:ascii="Wingdings" w:hAnsi="Wingdings" w:hint="default"/>
      </w:rPr>
    </w:lvl>
    <w:lvl w:ilvl="4" w:tplc="D020F242" w:tentative="1">
      <w:start w:val="1"/>
      <w:numFmt w:val="bullet"/>
      <w:lvlText w:val=""/>
      <w:lvlJc w:val="left"/>
      <w:pPr>
        <w:tabs>
          <w:tab w:val="num" w:pos="3600"/>
        </w:tabs>
        <w:ind w:left="3600" w:hanging="360"/>
      </w:pPr>
      <w:rPr>
        <w:rFonts w:ascii="Wingdings" w:hAnsi="Wingdings" w:hint="default"/>
      </w:rPr>
    </w:lvl>
    <w:lvl w:ilvl="5" w:tplc="8FC600EE" w:tentative="1">
      <w:start w:val="1"/>
      <w:numFmt w:val="bullet"/>
      <w:lvlText w:val=""/>
      <w:lvlJc w:val="left"/>
      <w:pPr>
        <w:tabs>
          <w:tab w:val="num" w:pos="4320"/>
        </w:tabs>
        <w:ind w:left="4320" w:hanging="360"/>
      </w:pPr>
      <w:rPr>
        <w:rFonts w:ascii="Wingdings" w:hAnsi="Wingdings" w:hint="default"/>
      </w:rPr>
    </w:lvl>
    <w:lvl w:ilvl="6" w:tplc="F21846CC" w:tentative="1">
      <w:start w:val="1"/>
      <w:numFmt w:val="bullet"/>
      <w:lvlText w:val=""/>
      <w:lvlJc w:val="left"/>
      <w:pPr>
        <w:tabs>
          <w:tab w:val="num" w:pos="5040"/>
        </w:tabs>
        <w:ind w:left="5040" w:hanging="360"/>
      </w:pPr>
      <w:rPr>
        <w:rFonts w:ascii="Wingdings" w:hAnsi="Wingdings" w:hint="default"/>
      </w:rPr>
    </w:lvl>
    <w:lvl w:ilvl="7" w:tplc="7C0EC0C4" w:tentative="1">
      <w:start w:val="1"/>
      <w:numFmt w:val="bullet"/>
      <w:lvlText w:val=""/>
      <w:lvlJc w:val="left"/>
      <w:pPr>
        <w:tabs>
          <w:tab w:val="num" w:pos="5760"/>
        </w:tabs>
        <w:ind w:left="5760" w:hanging="360"/>
      </w:pPr>
      <w:rPr>
        <w:rFonts w:ascii="Wingdings" w:hAnsi="Wingdings" w:hint="default"/>
      </w:rPr>
    </w:lvl>
    <w:lvl w:ilvl="8" w:tplc="9C9EEED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BFA"/>
    <w:rsid w:val="00026FB5"/>
    <w:rsid w:val="00057BE4"/>
    <w:rsid w:val="0008039A"/>
    <w:rsid w:val="000E627C"/>
    <w:rsid w:val="000F1708"/>
    <w:rsid w:val="00105CC4"/>
    <w:rsid w:val="001F3377"/>
    <w:rsid w:val="0021534D"/>
    <w:rsid w:val="00241A48"/>
    <w:rsid w:val="00275E22"/>
    <w:rsid w:val="002800B4"/>
    <w:rsid w:val="00326641"/>
    <w:rsid w:val="003A3F13"/>
    <w:rsid w:val="003D411D"/>
    <w:rsid w:val="004A3BFA"/>
    <w:rsid w:val="004F4743"/>
    <w:rsid w:val="005D3678"/>
    <w:rsid w:val="005F7474"/>
    <w:rsid w:val="00656699"/>
    <w:rsid w:val="00661F6A"/>
    <w:rsid w:val="006B3428"/>
    <w:rsid w:val="00760A20"/>
    <w:rsid w:val="007A4715"/>
    <w:rsid w:val="0080405D"/>
    <w:rsid w:val="00882FB0"/>
    <w:rsid w:val="00923E53"/>
    <w:rsid w:val="00930AB1"/>
    <w:rsid w:val="009375DE"/>
    <w:rsid w:val="009567F0"/>
    <w:rsid w:val="009C4E48"/>
    <w:rsid w:val="009E6DEF"/>
    <w:rsid w:val="00A5490C"/>
    <w:rsid w:val="00AC4027"/>
    <w:rsid w:val="00B229F5"/>
    <w:rsid w:val="00B9542E"/>
    <w:rsid w:val="00BB665D"/>
    <w:rsid w:val="00D023BD"/>
    <w:rsid w:val="00D03173"/>
    <w:rsid w:val="00D81374"/>
    <w:rsid w:val="00D82E25"/>
    <w:rsid w:val="00DC01EE"/>
    <w:rsid w:val="00DC2A42"/>
    <w:rsid w:val="00DC5E65"/>
    <w:rsid w:val="00DE2113"/>
    <w:rsid w:val="00E3574D"/>
    <w:rsid w:val="00E664C2"/>
    <w:rsid w:val="00F01546"/>
    <w:rsid w:val="00F45D6C"/>
    <w:rsid w:val="00FB4A49"/>
    <w:rsid w:val="00FF5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56699"/>
    <w:pPr>
      <w:spacing w:before="240" w:after="120" w:line="240" w:lineRule="auto"/>
      <w:outlineLvl w:val="0"/>
    </w:pPr>
    <w:rPr>
      <w:rFonts w:ascii="Times New Roman" w:eastAsia="Times New Roman" w:hAnsi="Times New Roman" w:cs="Times New Roman"/>
      <w:b/>
      <w:bCs/>
      <w:color w:val="000000"/>
      <w:kern w:val="36"/>
      <w:sz w:val="33"/>
      <w:szCs w:val="33"/>
      <w:lang w:val="nl-NL" w:eastAsia="nl-NL"/>
    </w:rPr>
  </w:style>
  <w:style w:type="paragraph" w:styleId="Heading3">
    <w:name w:val="heading 3"/>
    <w:basedOn w:val="Normal"/>
    <w:link w:val="Heading3Char"/>
    <w:uiPriority w:val="9"/>
    <w:qFormat/>
    <w:rsid w:val="00656699"/>
    <w:pPr>
      <w:spacing w:before="308" w:after="154" w:line="240" w:lineRule="auto"/>
      <w:outlineLvl w:val="2"/>
    </w:pPr>
    <w:rPr>
      <w:rFonts w:ascii="Times New Roman" w:eastAsia="Times New Roman" w:hAnsi="Times New Roman" w:cs="Times New Roman"/>
      <w:b/>
      <w:bCs/>
      <w:color w:val="724128"/>
      <w:sz w:val="26"/>
      <w:szCs w:val="2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4C2"/>
    <w:pPr>
      <w:spacing w:after="0" w:line="240" w:lineRule="auto"/>
      <w:ind w:left="720"/>
      <w:contextualSpacing/>
    </w:pPr>
    <w:rPr>
      <w:rFonts w:ascii="Times New Roman" w:eastAsia="Times New Roman" w:hAnsi="Times New Roman" w:cs="Times New Roman"/>
      <w:sz w:val="24"/>
      <w:szCs w:val="24"/>
      <w:lang w:eastAsia="nl-NL"/>
    </w:rPr>
  </w:style>
  <w:style w:type="character" w:styleId="Hyperlink">
    <w:name w:val="Hyperlink"/>
    <w:basedOn w:val="DefaultParagraphFont"/>
    <w:uiPriority w:val="99"/>
    <w:unhideWhenUsed/>
    <w:rsid w:val="005F7474"/>
    <w:rPr>
      <w:color w:val="0000FF" w:themeColor="hyperlink"/>
      <w:u w:val="single"/>
    </w:rPr>
  </w:style>
  <w:style w:type="character" w:customStyle="1" w:styleId="Heading1Char">
    <w:name w:val="Heading 1 Char"/>
    <w:basedOn w:val="DefaultParagraphFont"/>
    <w:link w:val="Heading1"/>
    <w:uiPriority w:val="9"/>
    <w:rsid w:val="00656699"/>
    <w:rPr>
      <w:rFonts w:ascii="Times New Roman" w:eastAsia="Times New Roman" w:hAnsi="Times New Roman" w:cs="Times New Roman"/>
      <w:b/>
      <w:bCs/>
      <w:color w:val="000000"/>
      <w:kern w:val="36"/>
      <w:sz w:val="33"/>
      <w:szCs w:val="33"/>
      <w:lang w:val="nl-NL" w:eastAsia="nl-NL"/>
    </w:rPr>
  </w:style>
  <w:style w:type="character" w:customStyle="1" w:styleId="Heading3Char">
    <w:name w:val="Heading 3 Char"/>
    <w:basedOn w:val="DefaultParagraphFont"/>
    <w:link w:val="Heading3"/>
    <w:uiPriority w:val="9"/>
    <w:rsid w:val="00656699"/>
    <w:rPr>
      <w:rFonts w:ascii="Times New Roman" w:eastAsia="Times New Roman" w:hAnsi="Times New Roman" w:cs="Times New Roman"/>
      <w:b/>
      <w:bCs/>
      <w:color w:val="724128"/>
      <w:sz w:val="26"/>
      <w:szCs w:val="26"/>
      <w:lang w:val="nl-NL" w:eastAsia="nl-NL"/>
    </w:rPr>
  </w:style>
  <w:style w:type="character" w:customStyle="1" w:styleId="highlight">
    <w:name w:val="highlight"/>
    <w:basedOn w:val="DefaultParagraphFont"/>
    <w:rsid w:val="00656699"/>
  </w:style>
  <w:style w:type="paragraph" w:styleId="Header">
    <w:name w:val="header"/>
    <w:basedOn w:val="Normal"/>
    <w:link w:val="HeaderChar"/>
    <w:uiPriority w:val="99"/>
    <w:unhideWhenUsed/>
    <w:rsid w:val="00105C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5CC4"/>
  </w:style>
  <w:style w:type="paragraph" w:styleId="Footer">
    <w:name w:val="footer"/>
    <w:basedOn w:val="Normal"/>
    <w:link w:val="FooterChar"/>
    <w:uiPriority w:val="99"/>
    <w:unhideWhenUsed/>
    <w:rsid w:val="00105C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1370">
      <w:bodyDiv w:val="1"/>
      <w:marLeft w:val="0"/>
      <w:marRight w:val="0"/>
      <w:marTop w:val="0"/>
      <w:marBottom w:val="0"/>
      <w:divBdr>
        <w:top w:val="none" w:sz="0" w:space="0" w:color="auto"/>
        <w:left w:val="none" w:sz="0" w:space="0" w:color="auto"/>
        <w:bottom w:val="none" w:sz="0" w:space="0" w:color="auto"/>
        <w:right w:val="none" w:sz="0" w:space="0" w:color="auto"/>
      </w:divBdr>
      <w:divsChild>
        <w:div w:id="519779096">
          <w:marLeft w:val="547"/>
          <w:marRight w:val="0"/>
          <w:marTop w:val="125"/>
          <w:marBottom w:val="0"/>
          <w:divBdr>
            <w:top w:val="none" w:sz="0" w:space="0" w:color="auto"/>
            <w:left w:val="none" w:sz="0" w:space="0" w:color="auto"/>
            <w:bottom w:val="none" w:sz="0" w:space="0" w:color="auto"/>
            <w:right w:val="none" w:sz="0" w:space="0" w:color="auto"/>
          </w:divBdr>
        </w:div>
        <w:div w:id="980843278">
          <w:marLeft w:val="547"/>
          <w:marRight w:val="0"/>
          <w:marTop w:val="125"/>
          <w:marBottom w:val="0"/>
          <w:divBdr>
            <w:top w:val="none" w:sz="0" w:space="0" w:color="auto"/>
            <w:left w:val="none" w:sz="0" w:space="0" w:color="auto"/>
            <w:bottom w:val="none" w:sz="0" w:space="0" w:color="auto"/>
            <w:right w:val="none" w:sz="0" w:space="0" w:color="auto"/>
          </w:divBdr>
        </w:div>
        <w:div w:id="33389963">
          <w:marLeft w:val="547"/>
          <w:marRight w:val="0"/>
          <w:marTop w:val="125"/>
          <w:marBottom w:val="0"/>
          <w:divBdr>
            <w:top w:val="none" w:sz="0" w:space="0" w:color="auto"/>
            <w:left w:val="none" w:sz="0" w:space="0" w:color="auto"/>
            <w:bottom w:val="none" w:sz="0" w:space="0" w:color="auto"/>
            <w:right w:val="none" w:sz="0" w:space="0" w:color="auto"/>
          </w:divBdr>
        </w:div>
        <w:div w:id="1913075342">
          <w:marLeft w:val="547"/>
          <w:marRight w:val="0"/>
          <w:marTop w:val="125"/>
          <w:marBottom w:val="0"/>
          <w:divBdr>
            <w:top w:val="none" w:sz="0" w:space="0" w:color="auto"/>
            <w:left w:val="none" w:sz="0" w:space="0" w:color="auto"/>
            <w:bottom w:val="none" w:sz="0" w:space="0" w:color="auto"/>
            <w:right w:val="none" w:sz="0" w:space="0" w:color="auto"/>
          </w:divBdr>
        </w:div>
        <w:div w:id="1995721261">
          <w:marLeft w:val="547"/>
          <w:marRight w:val="0"/>
          <w:marTop w:val="125"/>
          <w:marBottom w:val="0"/>
          <w:divBdr>
            <w:top w:val="none" w:sz="0" w:space="0" w:color="auto"/>
            <w:left w:val="none" w:sz="0" w:space="0" w:color="auto"/>
            <w:bottom w:val="none" w:sz="0" w:space="0" w:color="auto"/>
            <w:right w:val="none" w:sz="0" w:space="0" w:color="auto"/>
          </w:divBdr>
        </w:div>
        <w:div w:id="966934683">
          <w:marLeft w:val="547"/>
          <w:marRight w:val="0"/>
          <w:marTop w:val="125"/>
          <w:marBottom w:val="0"/>
          <w:divBdr>
            <w:top w:val="none" w:sz="0" w:space="0" w:color="auto"/>
            <w:left w:val="none" w:sz="0" w:space="0" w:color="auto"/>
            <w:bottom w:val="none" w:sz="0" w:space="0" w:color="auto"/>
            <w:right w:val="none" w:sz="0" w:space="0" w:color="auto"/>
          </w:divBdr>
        </w:div>
        <w:div w:id="285280657">
          <w:marLeft w:val="547"/>
          <w:marRight w:val="0"/>
          <w:marTop w:val="125"/>
          <w:marBottom w:val="0"/>
          <w:divBdr>
            <w:top w:val="none" w:sz="0" w:space="0" w:color="auto"/>
            <w:left w:val="none" w:sz="0" w:space="0" w:color="auto"/>
            <w:bottom w:val="none" w:sz="0" w:space="0" w:color="auto"/>
            <w:right w:val="none" w:sz="0" w:space="0" w:color="auto"/>
          </w:divBdr>
        </w:div>
      </w:divsChild>
    </w:div>
    <w:div w:id="1956979624">
      <w:bodyDiv w:val="1"/>
      <w:marLeft w:val="0"/>
      <w:marRight w:val="0"/>
      <w:marTop w:val="0"/>
      <w:marBottom w:val="0"/>
      <w:divBdr>
        <w:top w:val="none" w:sz="0" w:space="0" w:color="auto"/>
        <w:left w:val="none" w:sz="0" w:space="0" w:color="auto"/>
        <w:bottom w:val="none" w:sz="0" w:space="0" w:color="auto"/>
        <w:right w:val="none" w:sz="0" w:space="0" w:color="auto"/>
      </w:divBdr>
      <w:divsChild>
        <w:div w:id="1725104811">
          <w:marLeft w:val="0"/>
          <w:marRight w:val="1"/>
          <w:marTop w:val="0"/>
          <w:marBottom w:val="0"/>
          <w:divBdr>
            <w:top w:val="none" w:sz="0" w:space="0" w:color="auto"/>
            <w:left w:val="none" w:sz="0" w:space="0" w:color="auto"/>
            <w:bottom w:val="none" w:sz="0" w:space="0" w:color="auto"/>
            <w:right w:val="none" w:sz="0" w:space="0" w:color="auto"/>
          </w:divBdr>
          <w:divsChild>
            <w:div w:id="1318731403">
              <w:marLeft w:val="0"/>
              <w:marRight w:val="0"/>
              <w:marTop w:val="0"/>
              <w:marBottom w:val="0"/>
              <w:divBdr>
                <w:top w:val="none" w:sz="0" w:space="0" w:color="auto"/>
                <w:left w:val="none" w:sz="0" w:space="0" w:color="auto"/>
                <w:bottom w:val="none" w:sz="0" w:space="0" w:color="auto"/>
                <w:right w:val="none" w:sz="0" w:space="0" w:color="auto"/>
              </w:divBdr>
              <w:divsChild>
                <w:div w:id="1013342323">
                  <w:marLeft w:val="0"/>
                  <w:marRight w:val="1"/>
                  <w:marTop w:val="0"/>
                  <w:marBottom w:val="0"/>
                  <w:divBdr>
                    <w:top w:val="none" w:sz="0" w:space="0" w:color="auto"/>
                    <w:left w:val="none" w:sz="0" w:space="0" w:color="auto"/>
                    <w:bottom w:val="none" w:sz="0" w:space="0" w:color="auto"/>
                    <w:right w:val="none" w:sz="0" w:space="0" w:color="auto"/>
                  </w:divBdr>
                  <w:divsChild>
                    <w:div w:id="390662176">
                      <w:marLeft w:val="0"/>
                      <w:marRight w:val="0"/>
                      <w:marTop w:val="0"/>
                      <w:marBottom w:val="0"/>
                      <w:divBdr>
                        <w:top w:val="none" w:sz="0" w:space="0" w:color="auto"/>
                        <w:left w:val="none" w:sz="0" w:space="0" w:color="auto"/>
                        <w:bottom w:val="none" w:sz="0" w:space="0" w:color="auto"/>
                        <w:right w:val="none" w:sz="0" w:space="0" w:color="auto"/>
                      </w:divBdr>
                      <w:divsChild>
                        <w:div w:id="2089307979">
                          <w:marLeft w:val="0"/>
                          <w:marRight w:val="0"/>
                          <w:marTop w:val="0"/>
                          <w:marBottom w:val="0"/>
                          <w:divBdr>
                            <w:top w:val="none" w:sz="0" w:space="0" w:color="auto"/>
                            <w:left w:val="none" w:sz="0" w:space="0" w:color="auto"/>
                            <w:bottom w:val="none" w:sz="0" w:space="0" w:color="auto"/>
                            <w:right w:val="none" w:sz="0" w:space="0" w:color="auto"/>
                          </w:divBdr>
                          <w:divsChild>
                            <w:div w:id="1246306106">
                              <w:marLeft w:val="0"/>
                              <w:marRight w:val="0"/>
                              <w:marTop w:val="120"/>
                              <w:marBottom w:val="360"/>
                              <w:divBdr>
                                <w:top w:val="none" w:sz="0" w:space="0" w:color="auto"/>
                                <w:left w:val="none" w:sz="0" w:space="0" w:color="auto"/>
                                <w:bottom w:val="none" w:sz="0" w:space="0" w:color="auto"/>
                                <w:right w:val="none" w:sz="0" w:space="0" w:color="auto"/>
                              </w:divBdr>
                              <w:divsChild>
                                <w:div w:id="1773739962">
                                  <w:marLeft w:val="0"/>
                                  <w:marRight w:val="0"/>
                                  <w:marTop w:val="0"/>
                                  <w:marBottom w:val="0"/>
                                  <w:divBdr>
                                    <w:top w:val="none" w:sz="0" w:space="0" w:color="auto"/>
                                    <w:left w:val="none" w:sz="0" w:space="0" w:color="auto"/>
                                    <w:bottom w:val="none" w:sz="0" w:space="0" w:color="auto"/>
                                    <w:right w:val="none" w:sz="0" w:space="0" w:color="auto"/>
                                  </w:divBdr>
                                </w:div>
                                <w:div w:id="895556171">
                                  <w:marLeft w:val="0"/>
                                  <w:marRight w:val="0"/>
                                  <w:marTop w:val="0"/>
                                  <w:marBottom w:val="0"/>
                                  <w:divBdr>
                                    <w:top w:val="none" w:sz="0" w:space="0" w:color="auto"/>
                                    <w:left w:val="none" w:sz="0" w:space="0" w:color="auto"/>
                                    <w:bottom w:val="none" w:sz="0" w:space="0" w:color="auto"/>
                                    <w:right w:val="none" w:sz="0" w:space="0" w:color="auto"/>
                                  </w:divBdr>
                                </w:div>
                                <w:div w:id="10555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Olliaro%20P%5BAuthor%5D&amp;cauthor=true&amp;cauthor_uid=12090998" TargetMode="External"/><Relationship Id="rId13" Type="http://schemas.openxmlformats.org/officeDocument/2006/relationships/hyperlink" Target="http://www.ncbi.nlm.nih.gov/pubmed/?term=trouiller+lancet+200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bi.nlm.nih.gov/pubmed?term=Trouiller%20P%5BAuthor%5D&amp;cauthor=true&amp;cauthor_uid=12090998" TargetMode="External"/><Relationship Id="rId12" Type="http://schemas.openxmlformats.org/officeDocument/2006/relationships/hyperlink" Target="http://www.ncbi.nlm.nih.gov/pubmed?term=Ford%20N%5BAuthor%5D&amp;cauthor=true&amp;cauthor_uid=120909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Laing%20R%5BAuthor%5D&amp;cauthor=true&amp;cauthor_uid=12090998" TargetMode="External"/><Relationship Id="rId5" Type="http://schemas.openxmlformats.org/officeDocument/2006/relationships/footnotes" Target="footnotes.xml"/><Relationship Id="rId15" Type="http://schemas.openxmlformats.org/officeDocument/2006/relationships/hyperlink" Target="http://www.dndi.org" TargetMode="External"/><Relationship Id="rId10" Type="http://schemas.openxmlformats.org/officeDocument/2006/relationships/hyperlink" Target="http://www.ncbi.nlm.nih.gov/pubmed?term=Orbinski%20J%5BAuthor%5D&amp;cauthor=true&amp;cauthor_uid=12090998" TargetMode="External"/><Relationship Id="rId4" Type="http://schemas.openxmlformats.org/officeDocument/2006/relationships/webSettings" Target="webSettings.xml"/><Relationship Id="rId9" Type="http://schemas.openxmlformats.org/officeDocument/2006/relationships/hyperlink" Target="http://www.ncbi.nlm.nih.gov/pubmed?term=Torreele%20E%5BAuthor%5D&amp;cauthor=true&amp;cauthor_uid=12090998" TargetMode="External"/><Relationship Id="rId14" Type="http://schemas.openxmlformats.org/officeDocument/2006/relationships/hyperlink" Target="http://www.who.int/neglected_diseases/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9469</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 Zijlstra</cp:lastModifiedBy>
  <cp:revision>2</cp:revision>
  <dcterms:created xsi:type="dcterms:W3CDTF">2018-07-24T14:01:00Z</dcterms:created>
  <dcterms:modified xsi:type="dcterms:W3CDTF">2018-07-24T14:01:00Z</dcterms:modified>
</cp:coreProperties>
</file>